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0A3E" w:rsidRPr="00720A3E" w:rsidRDefault="00720A3E" w:rsidP="00720A3E">
      <w:pPr>
        <w:spacing w:after="0"/>
        <w:jc w:val="right"/>
        <w:rPr>
          <w:rFonts w:ascii="Times New Roman" w:hAnsi="Times New Roman" w:cs="Times New Roman"/>
          <w:b/>
          <w:sz w:val="24"/>
          <w:szCs w:val="24"/>
        </w:rPr>
      </w:pPr>
      <w:r w:rsidRPr="00720A3E">
        <w:rPr>
          <w:rFonts w:ascii="Times New Roman" w:hAnsi="Times New Roman" w:cs="Times New Roman"/>
          <w:b/>
          <w:sz w:val="24"/>
          <w:szCs w:val="24"/>
        </w:rPr>
        <w:t>Consiliului de administrație al ANRE</w:t>
      </w:r>
    </w:p>
    <w:p w:rsidR="00720A3E" w:rsidRDefault="00720A3E" w:rsidP="00720A3E">
      <w:pPr>
        <w:spacing w:after="0"/>
        <w:jc w:val="right"/>
        <w:rPr>
          <w:rFonts w:ascii="Times New Roman" w:hAnsi="Times New Roman" w:cs="Times New Roman"/>
          <w:b/>
          <w:sz w:val="24"/>
          <w:szCs w:val="24"/>
        </w:rPr>
      </w:pPr>
    </w:p>
    <w:p w:rsidR="00720A3E" w:rsidRDefault="00720A3E" w:rsidP="00503F64">
      <w:pPr>
        <w:spacing w:after="0"/>
        <w:jc w:val="center"/>
        <w:rPr>
          <w:rFonts w:ascii="Times New Roman" w:hAnsi="Times New Roman" w:cs="Times New Roman"/>
          <w:b/>
          <w:sz w:val="24"/>
          <w:szCs w:val="24"/>
        </w:rPr>
      </w:pPr>
    </w:p>
    <w:p w:rsidR="00E0364E" w:rsidRPr="00433295" w:rsidRDefault="00E0364E" w:rsidP="00503F64">
      <w:pPr>
        <w:spacing w:after="0"/>
        <w:jc w:val="center"/>
        <w:rPr>
          <w:rFonts w:ascii="Times New Roman" w:hAnsi="Times New Roman" w:cs="Times New Roman"/>
          <w:b/>
          <w:sz w:val="24"/>
          <w:szCs w:val="24"/>
        </w:rPr>
      </w:pPr>
      <w:r w:rsidRPr="00433295">
        <w:rPr>
          <w:rFonts w:ascii="Times New Roman" w:hAnsi="Times New Roman" w:cs="Times New Roman"/>
          <w:b/>
          <w:sz w:val="24"/>
          <w:szCs w:val="24"/>
        </w:rPr>
        <w:t xml:space="preserve">NOTĂ </w:t>
      </w:r>
      <w:r w:rsidR="000A38AC" w:rsidRPr="00433295">
        <w:rPr>
          <w:rFonts w:ascii="Times New Roman" w:hAnsi="Times New Roman" w:cs="Times New Roman"/>
          <w:b/>
          <w:sz w:val="24"/>
          <w:szCs w:val="24"/>
        </w:rPr>
        <w:t>DE ARGUMENTARE</w:t>
      </w:r>
    </w:p>
    <w:p w:rsidR="00DA6999" w:rsidRPr="00433295" w:rsidRDefault="00DA6999" w:rsidP="00DA6999">
      <w:pPr>
        <w:spacing w:after="0"/>
        <w:jc w:val="center"/>
        <w:rPr>
          <w:rFonts w:ascii="Times New Roman" w:hAnsi="Times New Roman" w:cs="Times New Roman"/>
          <w:b/>
          <w:bCs/>
          <w:sz w:val="24"/>
          <w:szCs w:val="24"/>
        </w:rPr>
      </w:pPr>
      <w:r w:rsidRPr="00433295">
        <w:rPr>
          <w:rFonts w:ascii="Times New Roman" w:hAnsi="Times New Roman" w:cs="Times New Roman"/>
          <w:b/>
          <w:bCs/>
          <w:sz w:val="24"/>
          <w:szCs w:val="24"/>
        </w:rPr>
        <w:t xml:space="preserve">la proiectul  Metodologiei de calculare, aprobare și aplicare a tarifelor reglementate    pentru  serviciul de transport al energiei electrice </w:t>
      </w:r>
    </w:p>
    <w:p w:rsidR="00830405" w:rsidRPr="00433295" w:rsidRDefault="00830405" w:rsidP="00503F64">
      <w:pPr>
        <w:spacing w:after="0"/>
        <w:jc w:val="center"/>
        <w:rPr>
          <w:rFonts w:ascii="Times New Roman" w:eastAsia="Times New Roman" w:hAnsi="Times New Roman" w:cs="Times New Roman"/>
          <w:b/>
          <w:bCs/>
          <w:sz w:val="24"/>
          <w:szCs w:val="24"/>
        </w:rPr>
      </w:pPr>
    </w:p>
    <w:tbl>
      <w:tblPr>
        <w:tblStyle w:val="a7"/>
        <w:tblW w:w="0" w:type="auto"/>
        <w:tblInd w:w="108" w:type="dxa"/>
        <w:tblLook w:val="04A0" w:firstRow="1" w:lastRow="0" w:firstColumn="1" w:lastColumn="0" w:noHBand="0" w:noVBand="1"/>
      </w:tblPr>
      <w:tblGrid>
        <w:gridCol w:w="9520"/>
      </w:tblGrid>
      <w:tr w:rsidR="00433295" w:rsidRPr="00433295" w:rsidTr="00720A3E">
        <w:trPr>
          <w:trHeight w:val="363"/>
        </w:trPr>
        <w:tc>
          <w:tcPr>
            <w:tcW w:w="9520" w:type="dxa"/>
          </w:tcPr>
          <w:p w:rsidR="00612306" w:rsidRPr="00433295" w:rsidRDefault="00612306" w:rsidP="00503F64">
            <w:pPr>
              <w:pStyle w:val="a3"/>
              <w:numPr>
                <w:ilvl w:val="0"/>
                <w:numId w:val="4"/>
              </w:numPr>
              <w:spacing w:line="276" w:lineRule="auto"/>
              <w:ind w:left="34" w:firstLine="0"/>
              <w:jc w:val="both"/>
              <w:rPr>
                <w:rFonts w:ascii="Times New Roman" w:eastAsia="Times New Roman" w:hAnsi="Times New Roman" w:cs="Times New Roman"/>
                <w:bCs/>
                <w:sz w:val="24"/>
                <w:szCs w:val="24"/>
                <w:lang w:val="ro-RO"/>
              </w:rPr>
            </w:pPr>
            <w:r w:rsidRPr="00433295">
              <w:rPr>
                <w:rFonts w:ascii="Times New Roman" w:eastAsia="Times New Roman" w:hAnsi="Times New Roman" w:cs="Times New Roman"/>
                <w:b/>
                <w:bCs/>
                <w:i/>
                <w:sz w:val="24"/>
                <w:szCs w:val="24"/>
                <w:lang w:val="ro-RO"/>
              </w:rPr>
              <w:t xml:space="preserve">Denumirea autorului </w:t>
            </w:r>
            <w:r w:rsidR="007F3F73" w:rsidRPr="00433295">
              <w:rPr>
                <w:rFonts w:ascii="Times New Roman" w:eastAsia="Times New Roman" w:hAnsi="Times New Roman" w:cs="Times New Roman"/>
                <w:b/>
                <w:bCs/>
                <w:i/>
                <w:sz w:val="24"/>
                <w:szCs w:val="24"/>
                <w:lang w:val="ro-RO"/>
              </w:rPr>
              <w:t>și</w:t>
            </w:r>
            <w:r w:rsidRPr="00433295">
              <w:rPr>
                <w:rFonts w:ascii="Times New Roman" w:eastAsia="Times New Roman" w:hAnsi="Times New Roman" w:cs="Times New Roman"/>
                <w:b/>
                <w:bCs/>
                <w:i/>
                <w:sz w:val="24"/>
                <w:szCs w:val="24"/>
                <w:lang w:val="ro-RO"/>
              </w:rPr>
              <w:t xml:space="preserve">, după caz, a </w:t>
            </w:r>
            <w:r w:rsidR="007F3F73" w:rsidRPr="00433295">
              <w:rPr>
                <w:rFonts w:ascii="Times New Roman" w:eastAsia="Times New Roman" w:hAnsi="Times New Roman" w:cs="Times New Roman"/>
                <w:b/>
                <w:bCs/>
                <w:i/>
                <w:sz w:val="24"/>
                <w:szCs w:val="24"/>
                <w:lang w:val="ro-RO"/>
              </w:rPr>
              <w:t>participanților</w:t>
            </w:r>
            <w:r w:rsidRPr="00433295">
              <w:rPr>
                <w:rFonts w:ascii="Times New Roman" w:eastAsia="Times New Roman" w:hAnsi="Times New Roman" w:cs="Times New Roman"/>
                <w:b/>
                <w:bCs/>
                <w:i/>
                <w:sz w:val="24"/>
                <w:szCs w:val="24"/>
                <w:lang w:val="ro-RO"/>
              </w:rPr>
              <w:t xml:space="preserve"> la elaborarea proiectului</w:t>
            </w:r>
          </w:p>
        </w:tc>
      </w:tr>
      <w:tr w:rsidR="00433295" w:rsidRPr="00433295" w:rsidTr="00720A3E">
        <w:trPr>
          <w:trHeight w:val="363"/>
        </w:trPr>
        <w:tc>
          <w:tcPr>
            <w:tcW w:w="9520" w:type="dxa"/>
          </w:tcPr>
          <w:p w:rsidR="00412DD0" w:rsidRPr="00433295" w:rsidRDefault="00412DD0" w:rsidP="00C25E75">
            <w:pPr>
              <w:pStyle w:val="a3"/>
              <w:spacing w:line="276" w:lineRule="auto"/>
              <w:ind w:left="318" w:firstLine="426"/>
              <w:jc w:val="both"/>
              <w:rPr>
                <w:rFonts w:ascii="Times New Roman" w:eastAsia="Times New Roman" w:hAnsi="Times New Roman" w:cs="Times New Roman"/>
                <w:b/>
                <w:bCs/>
                <w:i/>
                <w:sz w:val="24"/>
                <w:szCs w:val="24"/>
                <w:lang w:val="ro-RO"/>
              </w:rPr>
            </w:pPr>
            <w:r w:rsidRPr="00433295">
              <w:rPr>
                <w:rFonts w:ascii="Times New Roman" w:eastAsia="Times New Roman" w:hAnsi="Times New Roman" w:cs="Times New Roman"/>
                <w:bCs/>
                <w:sz w:val="24"/>
                <w:szCs w:val="24"/>
                <w:lang w:val="ro-RO"/>
              </w:rPr>
              <w:t xml:space="preserve">Agenția Națională pentru Reglementare în Energetică, </w:t>
            </w:r>
            <w:r w:rsidR="00C25E75" w:rsidRPr="00433295">
              <w:rPr>
                <w:rFonts w:ascii="Times New Roman" w:eastAsia="Times New Roman" w:hAnsi="Times New Roman" w:cs="Times New Roman"/>
                <w:bCs/>
                <w:sz w:val="24"/>
                <w:szCs w:val="24"/>
                <w:lang w:val="ro-RO"/>
              </w:rPr>
              <w:t>DEER, SR</w:t>
            </w:r>
          </w:p>
        </w:tc>
      </w:tr>
      <w:tr w:rsidR="00433295" w:rsidRPr="00433295" w:rsidTr="00720A3E">
        <w:trPr>
          <w:trHeight w:val="335"/>
        </w:trPr>
        <w:tc>
          <w:tcPr>
            <w:tcW w:w="9520" w:type="dxa"/>
          </w:tcPr>
          <w:p w:rsidR="004C0BD6" w:rsidRPr="00433295" w:rsidRDefault="007F3F73" w:rsidP="00503F64">
            <w:pPr>
              <w:pStyle w:val="a3"/>
              <w:numPr>
                <w:ilvl w:val="0"/>
                <w:numId w:val="4"/>
              </w:numPr>
              <w:spacing w:line="276" w:lineRule="auto"/>
              <w:ind w:left="34" w:firstLine="0"/>
              <w:jc w:val="both"/>
              <w:rPr>
                <w:rFonts w:ascii="Times New Roman" w:eastAsia="Times New Roman" w:hAnsi="Times New Roman" w:cs="Times New Roman"/>
                <w:bCs/>
                <w:sz w:val="24"/>
                <w:szCs w:val="24"/>
                <w:lang w:val="ro-RO"/>
              </w:rPr>
            </w:pPr>
            <w:r w:rsidRPr="00433295">
              <w:rPr>
                <w:rFonts w:ascii="Times New Roman" w:eastAsia="Times New Roman" w:hAnsi="Times New Roman" w:cs="Times New Roman"/>
                <w:b/>
                <w:bCs/>
                <w:i/>
                <w:sz w:val="24"/>
                <w:szCs w:val="24"/>
                <w:lang w:val="ro-RO"/>
              </w:rPr>
              <w:t>Condițiile</w:t>
            </w:r>
            <w:r w:rsidR="00612306" w:rsidRPr="00433295">
              <w:rPr>
                <w:rFonts w:ascii="Times New Roman" w:eastAsia="Times New Roman" w:hAnsi="Times New Roman" w:cs="Times New Roman"/>
                <w:b/>
                <w:bCs/>
                <w:i/>
                <w:sz w:val="24"/>
                <w:szCs w:val="24"/>
                <w:lang w:val="ro-RO"/>
              </w:rPr>
              <w:t xml:space="preserve"> ce au impus elaborarea proiectului de act normativ </w:t>
            </w:r>
            <w:r w:rsidRPr="00433295">
              <w:rPr>
                <w:rFonts w:ascii="Times New Roman" w:eastAsia="Times New Roman" w:hAnsi="Times New Roman" w:cs="Times New Roman"/>
                <w:b/>
                <w:bCs/>
                <w:i/>
                <w:sz w:val="24"/>
                <w:szCs w:val="24"/>
                <w:lang w:val="ro-RO"/>
              </w:rPr>
              <w:t>și</w:t>
            </w:r>
            <w:r w:rsidR="00612306" w:rsidRPr="00433295">
              <w:rPr>
                <w:rFonts w:ascii="Times New Roman" w:eastAsia="Times New Roman" w:hAnsi="Times New Roman" w:cs="Times New Roman"/>
                <w:b/>
                <w:bCs/>
                <w:i/>
                <w:sz w:val="24"/>
                <w:szCs w:val="24"/>
                <w:lang w:val="ro-RO"/>
              </w:rPr>
              <w:t xml:space="preserve"> </w:t>
            </w:r>
            <w:r w:rsidRPr="00433295">
              <w:rPr>
                <w:rFonts w:ascii="Times New Roman" w:eastAsia="Times New Roman" w:hAnsi="Times New Roman" w:cs="Times New Roman"/>
                <w:b/>
                <w:bCs/>
                <w:i/>
                <w:sz w:val="24"/>
                <w:szCs w:val="24"/>
                <w:lang w:val="ro-RO"/>
              </w:rPr>
              <w:t>finalitățile</w:t>
            </w:r>
            <w:r w:rsidR="00612306" w:rsidRPr="00433295">
              <w:rPr>
                <w:rFonts w:ascii="Times New Roman" w:eastAsia="Times New Roman" w:hAnsi="Times New Roman" w:cs="Times New Roman"/>
                <w:b/>
                <w:bCs/>
                <w:i/>
                <w:sz w:val="24"/>
                <w:szCs w:val="24"/>
                <w:lang w:val="ro-RO"/>
              </w:rPr>
              <w:t xml:space="preserve"> urmărite</w:t>
            </w:r>
            <w:r w:rsidR="004C0BD6" w:rsidRPr="00433295">
              <w:rPr>
                <w:rFonts w:ascii="Times New Roman" w:eastAsia="Times New Roman" w:hAnsi="Times New Roman" w:cs="Times New Roman"/>
                <w:bCs/>
                <w:sz w:val="24"/>
                <w:szCs w:val="24"/>
                <w:lang w:val="ro-RO"/>
              </w:rPr>
              <w:t xml:space="preserve"> </w:t>
            </w:r>
          </w:p>
        </w:tc>
      </w:tr>
      <w:tr w:rsidR="00433295" w:rsidRPr="00433295" w:rsidTr="00720A3E">
        <w:trPr>
          <w:trHeight w:val="1875"/>
        </w:trPr>
        <w:tc>
          <w:tcPr>
            <w:tcW w:w="9520" w:type="dxa"/>
          </w:tcPr>
          <w:p w:rsidR="00DA6999" w:rsidRPr="00433295" w:rsidRDefault="0036278F" w:rsidP="00387FB1">
            <w:pPr>
              <w:ind w:firstLine="587"/>
              <w:jc w:val="both"/>
              <w:rPr>
                <w:rFonts w:ascii="Times New Roman" w:hAnsi="Times New Roman" w:cs="Times New Roman"/>
                <w:sz w:val="24"/>
              </w:rPr>
            </w:pPr>
            <w:r w:rsidRPr="00433295">
              <w:rPr>
                <w:rFonts w:ascii="Times New Roman" w:hAnsi="Times New Roman" w:cs="Times New Roman"/>
                <w:sz w:val="24"/>
              </w:rPr>
              <w:t xml:space="preserve">În conformitate cu prevederile </w:t>
            </w:r>
            <w:r w:rsidR="00DA6999" w:rsidRPr="00433295">
              <w:rPr>
                <w:rFonts w:ascii="Times New Roman" w:hAnsi="Times New Roman" w:cs="Times New Roman"/>
                <w:sz w:val="24"/>
              </w:rPr>
              <w:t>art. 7,alin.</w:t>
            </w:r>
            <w:r w:rsidR="00120AB4" w:rsidRPr="00433295">
              <w:rPr>
                <w:rFonts w:ascii="Times New Roman" w:hAnsi="Times New Roman" w:cs="Times New Roman"/>
                <w:sz w:val="24"/>
              </w:rPr>
              <w:t xml:space="preserve"> </w:t>
            </w:r>
            <w:r w:rsidR="00DA6999" w:rsidRPr="00433295">
              <w:rPr>
                <w:rFonts w:ascii="Times New Roman" w:hAnsi="Times New Roman" w:cs="Times New Roman"/>
                <w:sz w:val="24"/>
              </w:rPr>
              <w:t>(2), lit. a) din Legea</w:t>
            </w:r>
            <w:r w:rsidRPr="00433295">
              <w:rPr>
                <w:rFonts w:ascii="Times New Roman" w:hAnsi="Times New Roman" w:cs="Times New Roman"/>
                <w:sz w:val="24"/>
              </w:rPr>
              <w:t xml:space="preserve"> nr. 107/2016 cu privire la energia electrică</w:t>
            </w:r>
            <w:r w:rsidR="00387FB1" w:rsidRPr="00433295">
              <w:rPr>
                <w:rFonts w:ascii="Times New Roman" w:hAnsi="Times New Roman" w:cs="Times New Roman"/>
                <w:sz w:val="24"/>
              </w:rPr>
              <w:t xml:space="preserve">, </w:t>
            </w:r>
            <w:r w:rsidR="00DA6999" w:rsidRPr="00433295">
              <w:rPr>
                <w:rFonts w:ascii="Times New Roman" w:hAnsi="Times New Roman" w:cs="Times New Roman"/>
                <w:sz w:val="24"/>
              </w:rPr>
              <w:t>tarifele la serviciul de transport al energiei electrice se calculează și se aprobă de Agenție, conform unei metodologii prestabilite</w:t>
            </w:r>
            <w:r w:rsidR="00DA6999" w:rsidRPr="00433295">
              <w:rPr>
                <w:rFonts w:ascii="Times New Roman" w:hAnsi="Times New Roman" w:cs="Times New Roman"/>
                <w:iCs/>
                <w:sz w:val="24"/>
              </w:rPr>
              <w:t>, elaborate și aprobate de ANRE.</w:t>
            </w:r>
            <w:r w:rsidR="00DA6999" w:rsidRPr="00433295">
              <w:rPr>
                <w:rFonts w:ascii="Times New Roman" w:hAnsi="Times New Roman" w:cs="Times New Roman"/>
                <w:sz w:val="24"/>
              </w:rPr>
              <w:t xml:space="preserve"> </w:t>
            </w:r>
          </w:p>
          <w:p w:rsidR="000139CE" w:rsidRPr="00433295" w:rsidRDefault="000139CE" w:rsidP="000139CE">
            <w:pPr>
              <w:ind w:firstLine="587"/>
              <w:jc w:val="both"/>
              <w:rPr>
                <w:rFonts w:ascii="Times New Roman" w:hAnsi="Times New Roman" w:cs="Times New Roman"/>
                <w:sz w:val="24"/>
                <w:lang w:eastAsia="en-US"/>
              </w:rPr>
            </w:pPr>
            <w:r w:rsidRPr="00433295">
              <w:rPr>
                <w:rFonts w:ascii="Times New Roman" w:hAnsi="Times New Roman" w:cs="Times New Roman"/>
                <w:sz w:val="24"/>
                <w:lang w:eastAsia="en-US"/>
              </w:rPr>
              <w:t>Prevederile Metodologiei  date se aplică în relațiile dintre operatorul sistemului de transport și utilizatorii sistemului de transport, cărora li se prestează serviciul de transport al energiei electrice.</w:t>
            </w:r>
          </w:p>
          <w:p w:rsidR="005524B9" w:rsidRPr="00433295" w:rsidRDefault="000139CE" w:rsidP="001B4897">
            <w:pPr>
              <w:spacing w:after="120"/>
              <w:ind w:firstLine="426"/>
              <w:jc w:val="both"/>
              <w:rPr>
                <w:rFonts w:ascii="Times New Roman" w:hAnsi="Times New Roman" w:cs="Times New Roman"/>
                <w:sz w:val="24"/>
                <w:szCs w:val="24"/>
              </w:rPr>
            </w:pPr>
            <w:r w:rsidRPr="00433295">
              <w:rPr>
                <w:rFonts w:ascii="Times New Roman" w:hAnsi="Times New Roman" w:cs="Times New Roman"/>
                <w:sz w:val="24"/>
                <w:szCs w:val="24"/>
              </w:rPr>
              <w:t>De remarcat, că intervenția propusă nu este una nouă, tarifele pentru serviciu de transport al energiei electrice fiind anterior determinate și aprobate în baza metodologiei aprobate prin Hotărârea Consiliului de Administrație al ANRE nr. 486 din 13.12.2017. Metodologia în cauză a fost aprobată pentru o perioadă de 5 ani din data intrării în vigoare a acestea.</w:t>
            </w:r>
          </w:p>
          <w:p w:rsidR="000139CE" w:rsidRPr="00433295" w:rsidRDefault="000139CE" w:rsidP="000139CE">
            <w:pPr>
              <w:ind w:firstLine="587"/>
              <w:jc w:val="both"/>
              <w:rPr>
                <w:rFonts w:ascii="Times New Roman" w:hAnsi="Times New Roman" w:cs="Times New Roman"/>
                <w:sz w:val="24"/>
                <w:lang w:eastAsia="en-US"/>
              </w:rPr>
            </w:pPr>
            <w:r w:rsidRPr="00433295">
              <w:rPr>
                <w:rFonts w:ascii="Times New Roman" w:hAnsi="Times New Roman" w:cs="Times New Roman"/>
                <w:sz w:val="24"/>
                <w:lang w:eastAsia="en-US"/>
              </w:rPr>
              <w:t xml:space="preserve">În contextul celor expuse, având în vedere expirarea termenului de valabilitate a Metodologiei aprobate în anul 2017, precum și </w:t>
            </w:r>
            <w:r w:rsidR="00C427E2" w:rsidRPr="00433295">
              <w:rPr>
                <w:rFonts w:ascii="Times New Roman" w:hAnsi="Times New Roman" w:cs="Times New Roman"/>
                <w:sz w:val="24"/>
                <w:lang w:eastAsia="en-US"/>
              </w:rPr>
              <w:t xml:space="preserve">respectarea </w:t>
            </w:r>
            <w:r w:rsidRPr="00433295">
              <w:rPr>
                <w:rFonts w:ascii="Times New Roman" w:hAnsi="Times New Roman" w:cs="Times New Roman"/>
                <w:sz w:val="24"/>
                <w:lang w:eastAsia="en-US"/>
              </w:rPr>
              <w:t>prevederil</w:t>
            </w:r>
            <w:r w:rsidR="00C427E2" w:rsidRPr="00433295">
              <w:rPr>
                <w:rFonts w:ascii="Times New Roman" w:hAnsi="Times New Roman" w:cs="Times New Roman"/>
                <w:sz w:val="24"/>
                <w:lang w:eastAsia="en-US"/>
              </w:rPr>
              <w:t>or</w:t>
            </w:r>
            <w:r w:rsidRPr="00433295">
              <w:rPr>
                <w:rFonts w:ascii="Times New Roman" w:hAnsi="Times New Roman" w:cs="Times New Roman"/>
                <w:sz w:val="24"/>
                <w:lang w:eastAsia="en-US"/>
              </w:rPr>
              <w:t xml:space="preserve"> Legii cu privire la energia electrică, apare necesitatea elaborării și aprobării unei noi Metodologii privind calcularea, aprobarea și aplicarea tarifelor reglementate pentru serviciul de transport al energiei electrice, care ar fi aplicată pe parcurs.</w:t>
            </w:r>
          </w:p>
          <w:p w:rsidR="00C44AFB" w:rsidRPr="00433295" w:rsidRDefault="00C44AFB" w:rsidP="00D911B1">
            <w:pPr>
              <w:ind w:firstLine="587"/>
              <w:jc w:val="both"/>
              <w:rPr>
                <w:rFonts w:ascii="Times New Roman" w:hAnsi="Times New Roman" w:cs="Times New Roman"/>
                <w:sz w:val="24"/>
                <w:szCs w:val="24"/>
              </w:rPr>
            </w:pPr>
          </w:p>
        </w:tc>
      </w:tr>
      <w:tr w:rsidR="00433295" w:rsidRPr="00433295" w:rsidTr="00720A3E">
        <w:tc>
          <w:tcPr>
            <w:tcW w:w="9520" w:type="dxa"/>
          </w:tcPr>
          <w:p w:rsidR="00412DD0" w:rsidRPr="00433295" w:rsidRDefault="00412DD0" w:rsidP="00503F64">
            <w:pPr>
              <w:pStyle w:val="a3"/>
              <w:numPr>
                <w:ilvl w:val="0"/>
                <w:numId w:val="4"/>
              </w:numPr>
              <w:spacing w:line="276" w:lineRule="auto"/>
              <w:ind w:left="34" w:firstLine="0"/>
              <w:jc w:val="both"/>
              <w:rPr>
                <w:rFonts w:ascii="Times New Roman" w:eastAsia="Times New Roman" w:hAnsi="Times New Roman" w:cs="Times New Roman"/>
                <w:b/>
                <w:bCs/>
                <w:i/>
                <w:sz w:val="24"/>
                <w:szCs w:val="24"/>
                <w:lang w:val="ro-RO"/>
              </w:rPr>
            </w:pPr>
            <w:r w:rsidRPr="00433295">
              <w:rPr>
                <w:rFonts w:ascii="Times New Roman" w:eastAsia="Times New Roman" w:hAnsi="Times New Roman" w:cs="Times New Roman"/>
                <w:b/>
                <w:bCs/>
                <w:i/>
                <w:sz w:val="24"/>
                <w:szCs w:val="24"/>
                <w:lang w:val="ro-RO"/>
              </w:rPr>
              <w:t>Descrierea</w:t>
            </w:r>
            <w:r w:rsidRPr="00433295">
              <w:rPr>
                <w:rFonts w:ascii="Times New Roman" w:hAnsi="Times New Roman" w:cs="Times New Roman"/>
                <w:b/>
                <w:bCs/>
                <w:i/>
                <w:sz w:val="24"/>
                <w:szCs w:val="24"/>
                <w:lang w:val="ro-RO"/>
              </w:rPr>
              <w:t xml:space="preserve"> gradului de compatibilitate pentru proiectele care au ca scop armonizarea </w:t>
            </w:r>
            <w:r w:rsidR="007F3F73" w:rsidRPr="00433295">
              <w:rPr>
                <w:rFonts w:ascii="Times New Roman" w:eastAsia="Times New Roman" w:hAnsi="Times New Roman" w:cs="Times New Roman"/>
                <w:b/>
                <w:bCs/>
                <w:i/>
                <w:sz w:val="24"/>
                <w:szCs w:val="24"/>
                <w:lang w:val="ro-RO"/>
              </w:rPr>
              <w:t>legislației</w:t>
            </w:r>
            <w:r w:rsidRPr="00433295">
              <w:rPr>
                <w:rFonts w:ascii="Times New Roman" w:hAnsi="Times New Roman" w:cs="Times New Roman"/>
                <w:b/>
                <w:bCs/>
                <w:i/>
                <w:sz w:val="24"/>
                <w:szCs w:val="24"/>
                <w:lang w:val="ro-RO"/>
              </w:rPr>
              <w:t xml:space="preserve"> </w:t>
            </w:r>
            <w:r w:rsidR="007F3F73" w:rsidRPr="00433295">
              <w:rPr>
                <w:rFonts w:ascii="Times New Roman" w:hAnsi="Times New Roman" w:cs="Times New Roman"/>
                <w:b/>
                <w:bCs/>
                <w:i/>
                <w:sz w:val="24"/>
                <w:szCs w:val="24"/>
                <w:lang w:val="ro-RO"/>
              </w:rPr>
              <w:t>naționale</w:t>
            </w:r>
            <w:r w:rsidRPr="00433295">
              <w:rPr>
                <w:rFonts w:ascii="Times New Roman" w:hAnsi="Times New Roman" w:cs="Times New Roman"/>
                <w:b/>
                <w:bCs/>
                <w:i/>
                <w:sz w:val="24"/>
                <w:szCs w:val="24"/>
                <w:lang w:val="ro-RO"/>
              </w:rPr>
              <w:t xml:space="preserve"> cu </w:t>
            </w:r>
            <w:r w:rsidR="007F3F73" w:rsidRPr="00433295">
              <w:rPr>
                <w:rFonts w:ascii="Times New Roman" w:hAnsi="Times New Roman" w:cs="Times New Roman"/>
                <w:b/>
                <w:bCs/>
                <w:i/>
                <w:sz w:val="24"/>
                <w:szCs w:val="24"/>
                <w:lang w:val="ro-RO"/>
              </w:rPr>
              <w:t>legislația</w:t>
            </w:r>
            <w:r w:rsidRPr="00433295">
              <w:rPr>
                <w:rFonts w:ascii="Times New Roman" w:hAnsi="Times New Roman" w:cs="Times New Roman"/>
                <w:b/>
                <w:bCs/>
                <w:i/>
                <w:sz w:val="24"/>
                <w:szCs w:val="24"/>
                <w:lang w:val="ro-RO"/>
              </w:rPr>
              <w:t xml:space="preserve"> Uniunii Europene</w:t>
            </w:r>
          </w:p>
        </w:tc>
      </w:tr>
      <w:tr w:rsidR="00433295" w:rsidRPr="00433295" w:rsidTr="00720A3E">
        <w:tc>
          <w:tcPr>
            <w:tcW w:w="9520" w:type="dxa"/>
          </w:tcPr>
          <w:p w:rsidR="00FD24B9" w:rsidRPr="00433295" w:rsidRDefault="003911DF" w:rsidP="00503F64">
            <w:pPr>
              <w:pStyle w:val="a3"/>
              <w:ind w:left="34" w:firstLine="567"/>
              <w:jc w:val="both"/>
              <w:rPr>
                <w:rFonts w:ascii="Times New Roman" w:eastAsia="Times New Roman" w:hAnsi="Times New Roman" w:cs="Times New Roman"/>
                <w:bCs/>
                <w:sz w:val="24"/>
                <w:szCs w:val="24"/>
                <w:lang w:val="ro-RO"/>
              </w:rPr>
            </w:pPr>
            <w:r w:rsidRPr="00433295">
              <w:rPr>
                <w:rFonts w:ascii="Times New Roman" w:eastAsia="Times New Roman" w:hAnsi="Times New Roman" w:cs="Times New Roman"/>
                <w:bCs/>
                <w:sz w:val="24"/>
                <w:szCs w:val="24"/>
                <w:lang w:val="ro-RO"/>
              </w:rPr>
              <w:t>Neaplicabil</w:t>
            </w:r>
          </w:p>
        </w:tc>
      </w:tr>
      <w:tr w:rsidR="00433295" w:rsidRPr="00433295" w:rsidTr="00720A3E">
        <w:trPr>
          <w:trHeight w:val="5797"/>
        </w:trPr>
        <w:tc>
          <w:tcPr>
            <w:tcW w:w="9520" w:type="dxa"/>
          </w:tcPr>
          <w:p w:rsidR="00ED5DDA" w:rsidRPr="00433295" w:rsidRDefault="00DC522D" w:rsidP="00503F64">
            <w:pPr>
              <w:pStyle w:val="a3"/>
              <w:numPr>
                <w:ilvl w:val="0"/>
                <w:numId w:val="4"/>
              </w:numPr>
              <w:spacing w:line="276" w:lineRule="auto"/>
              <w:ind w:left="34" w:firstLine="0"/>
              <w:jc w:val="both"/>
              <w:rPr>
                <w:rFonts w:ascii="Times New Roman" w:eastAsia="Times New Roman" w:hAnsi="Times New Roman" w:cs="Times New Roman"/>
                <w:bCs/>
                <w:sz w:val="24"/>
                <w:szCs w:val="24"/>
                <w:lang w:val="ro-RO"/>
              </w:rPr>
            </w:pPr>
            <w:r w:rsidRPr="00433295">
              <w:rPr>
                <w:rFonts w:ascii="Times New Roman" w:eastAsia="Times New Roman" w:hAnsi="Times New Roman" w:cs="Times New Roman"/>
                <w:b/>
                <w:bCs/>
                <w:i/>
                <w:sz w:val="24"/>
                <w:szCs w:val="24"/>
                <w:lang w:val="ro-RO"/>
              </w:rPr>
              <w:t xml:space="preserve">Principalele prevederi ale proiectului </w:t>
            </w:r>
            <w:r w:rsidR="007F3F73" w:rsidRPr="00433295">
              <w:rPr>
                <w:rFonts w:ascii="Times New Roman" w:eastAsia="Times New Roman" w:hAnsi="Times New Roman" w:cs="Times New Roman"/>
                <w:b/>
                <w:bCs/>
                <w:i/>
                <w:sz w:val="24"/>
                <w:szCs w:val="24"/>
                <w:lang w:val="ro-RO"/>
              </w:rPr>
              <w:t>și</w:t>
            </w:r>
            <w:r w:rsidRPr="00433295">
              <w:rPr>
                <w:rFonts w:ascii="Times New Roman" w:eastAsia="Times New Roman" w:hAnsi="Times New Roman" w:cs="Times New Roman"/>
                <w:b/>
                <w:bCs/>
                <w:i/>
                <w:sz w:val="24"/>
                <w:szCs w:val="24"/>
                <w:lang w:val="ro-RO"/>
              </w:rPr>
              <w:t xml:space="preserve"> </w:t>
            </w:r>
            <w:r w:rsidR="007F3F73" w:rsidRPr="00433295">
              <w:rPr>
                <w:rFonts w:ascii="Times New Roman" w:eastAsia="Times New Roman" w:hAnsi="Times New Roman" w:cs="Times New Roman"/>
                <w:b/>
                <w:bCs/>
                <w:i/>
                <w:sz w:val="24"/>
                <w:szCs w:val="24"/>
                <w:lang w:val="ro-RO"/>
              </w:rPr>
              <w:t>evidențierea</w:t>
            </w:r>
            <w:r w:rsidRPr="00433295">
              <w:rPr>
                <w:rFonts w:ascii="Times New Roman" w:eastAsia="Times New Roman" w:hAnsi="Times New Roman" w:cs="Times New Roman"/>
                <w:b/>
                <w:bCs/>
                <w:i/>
                <w:sz w:val="24"/>
                <w:szCs w:val="24"/>
                <w:lang w:val="ro-RO"/>
              </w:rPr>
              <w:t xml:space="preserve"> elementelor noi</w:t>
            </w:r>
          </w:p>
          <w:p w:rsidR="004572C7" w:rsidRPr="00433295" w:rsidRDefault="004572C7" w:rsidP="004572C7">
            <w:pPr>
              <w:tabs>
                <w:tab w:val="left" w:pos="600"/>
                <w:tab w:val="left" w:pos="801"/>
              </w:tabs>
              <w:suppressAutoHyphens/>
              <w:spacing w:after="120"/>
              <w:ind w:firstLine="426"/>
              <w:jc w:val="both"/>
              <w:rPr>
                <w:rFonts w:ascii="Times New Roman" w:eastAsia="Times New Roman" w:hAnsi="Times New Roman" w:cs="Times New Roman"/>
                <w:iCs/>
                <w:sz w:val="24"/>
                <w:szCs w:val="24"/>
                <w:lang w:val="ro-MD" w:eastAsia="ar-SA"/>
              </w:rPr>
            </w:pPr>
            <w:r w:rsidRPr="00433295">
              <w:rPr>
                <w:rFonts w:ascii="Times New Roman" w:eastAsia="Times New Roman" w:hAnsi="Times New Roman" w:cs="Times New Roman"/>
                <w:bCs/>
                <w:sz w:val="24"/>
                <w:szCs w:val="24"/>
              </w:rPr>
              <w:t xml:space="preserve">  </w:t>
            </w:r>
            <w:r w:rsidRPr="00433295">
              <w:rPr>
                <w:rFonts w:ascii="Times New Roman" w:eastAsia="Times New Roman" w:hAnsi="Times New Roman" w:cs="Times New Roman"/>
                <w:iCs/>
                <w:sz w:val="24"/>
                <w:szCs w:val="24"/>
                <w:lang w:val="ro-MD" w:eastAsia="ar-SA"/>
              </w:rPr>
              <w:t xml:space="preserve">Ținând cont de exigențele Legii </w:t>
            </w:r>
            <w:r w:rsidRPr="00433295">
              <w:rPr>
                <w:rFonts w:ascii="Times New Roman" w:eastAsia="Times New Roman" w:hAnsi="Times New Roman" w:cs="Times New Roman"/>
                <w:bCs/>
                <w:iCs/>
                <w:sz w:val="24"/>
                <w:szCs w:val="24"/>
                <w:lang w:val="ro-MD" w:eastAsia="ar-SA"/>
              </w:rPr>
              <w:t xml:space="preserve">cu privire la energia electrică,  </w:t>
            </w:r>
            <w:r w:rsidR="00BE4F25" w:rsidRPr="00433295">
              <w:rPr>
                <w:rFonts w:ascii="Times New Roman" w:eastAsia="Times New Roman" w:hAnsi="Times New Roman" w:cs="Times New Roman"/>
                <w:iCs/>
                <w:sz w:val="24"/>
                <w:szCs w:val="24"/>
                <w:lang w:val="ro-MD" w:eastAsia="ar-SA"/>
              </w:rPr>
              <w:t>Metodologia</w:t>
            </w:r>
            <w:r w:rsidRPr="00433295">
              <w:rPr>
                <w:rFonts w:ascii="Times New Roman" w:eastAsia="Times New Roman" w:hAnsi="Times New Roman" w:cs="Times New Roman"/>
                <w:iCs/>
                <w:sz w:val="24"/>
                <w:szCs w:val="24"/>
                <w:lang w:val="ro-MD" w:eastAsia="ar-SA"/>
              </w:rPr>
              <w:t xml:space="preserve"> </w:t>
            </w:r>
            <w:r w:rsidR="00BE4F25" w:rsidRPr="00433295">
              <w:rPr>
                <w:rFonts w:ascii="Times New Roman" w:eastAsia="Times New Roman" w:hAnsi="Times New Roman" w:cs="Times New Roman"/>
                <w:iCs/>
                <w:sz w:val="24"/>
                <w:szCs w:val="24"/>
                <w:lang w:val="ro-MD" w:eastAsia="ar-SA"/>
              </w:rPr>
              <w:t xml:space="preserve">va </w:t>
            </w:r>
            <w:r w:rsidRPr="00433295">
              <w:rPr>
                <w:rFonts w:ascii="Times New Roman" w:eastAsia="Times New Roman" w:hAnsi="Times New Roman" w:cs="Times New Roman"/>
                <w:iCs/>
                <w:sz w:val="24"/>
                <w:szCs w:val="24"/>
                <w:lang w:val="ro-MD" w:eastAsia="ar-SA"/>
              </w:rPr>
              <w:t xml:space="preserve"> stabil</w:t>
            </w:r>
            <w:r w:rsidR="00BE4F25" w:rsidRPr="00433295">
              <w:rPr>
                <w:rFonts w:ascii="Times New Roman" w:eastAsia="Times New Roman" w:hAnsi="Times New Roman" w:cs="Times New Roman"/>
                <w:iCs/>
                <w:sz w:val="24"/>
                <w:szCs w:val="24"/>
                <w:lang w:val="ro-MD" w:eastAsia="ar-SA"/>
              </w:rPr>
              <w:t>i</w:t>
            </w:r>
            <w:r w:rsidRPr="00433295">
              <w:rPr>
                <w:rFonts w:ascii="Times New Roman" w:eastAsia="Times New Roman" w:hAnsi="Times New Roman" w:cs="Times New Roman"/>
                <w:iCs/>
                <w:sz w:val="24"/>
                <w:szCs w:val="24"/>
                <w:lang w:val="ro-MD" w:eastAsia="ar-SA"/>
              </w:rPr>
              <w:t>:</w:t>
            </w:r>
          </w:p>
          <w:p w:rsidR="00BD3C44" w:rsidRPr="00433295" w:rsidRDefault="00BD3C44" w:rsidP="00BD3C44">
            <w:pPr>
              <w:pStyle w:val="a5"/>
              <w:shd w:val="clear" w:color="auto" w:fill="FFFFFF"/>
              <w:rPr>
                <w:bCs/>
                <w:lang w:val="ro-RO" w:eastAsia="ja-JP"/>
              </w:rPr>
            </w:pPr>
            <w:r w:rsidRPr="00433295">
              <w:rPr>
                <w:bCs/>
                <w:lang w:val="ro-RO" w:eastAsia="ja-JP"/>
              </w:rPr>
              <w:t>- principiile și metoda de calculare, examinare și aprobare a costurilor de bază și a tarifelor reglementate pentru serviciul de transport al energiei electrice;</w:t>
            </w:r>
          </w:p>
          <w:p w:rsidR="00BD3C44" w:rsidRPr="00433295" w:rsidRDefault="00BD3C44" w:rsidP="00BD3C44">
            <w:pPr>
              <w:pStyle w:val="a5"/>
              <w:shd w:val="clear" w:color="auto" w:fill="FFFFFF"/>
              <w:rPr>
                <w:bCs/>
                <w:lang w:val="ro-RO" w:eastAsia="ja-JP"/>
              </w:rPr>
            </w:pPr>
            <w:r w:rsidRPr="00433295">
              <w:rPr>
                <w:bCs/>
                <w:lang w:val="ro-RO" w:eastAsia="ja-JP"/>
              </w:rPr>
              <w:t>- costurile de bază se calculează de către operatorul sistemului de transport și se prezintă Agenției pentru examinare și aprobare;</w:t>
            </w:r>
          </w:p>
          <w:p w:rsidR="00BD3C44" w:rsidRPr="00433295" w:rsidRDefault="00BD3C44" w:rsidP="00BD3C44">
            <w:pPr>
              <w:pStyle w:val="a5"/>
              <w:shd w:val="clear" w:color="auto" w:fill="FFFFFF"/>
              <w:rPr>
                <w:bCs/>
                <w:lang w:val="ro-RO" w:eastAsia="ja-JP"/>
              </w:rPr>
            </w:pPr>
            <w:r w:rsidRPr="00433295">
              <w:rPr>
                <w:bCs/>
                <w:lang w:val="ro-RO" w:eastAsia="ja-JP"/>
              </w:rPr>
              <w:t>- costurile de bază aprobate de Agenție sunt valabile pe o perioadă de reglementare de 5 ani consecutivi, inclusiv se utilizează la determinarea tarifelor pentru serviciul de transport al energiei electrice în primul an a perioadei de reglementare de 5 ani;</w:t>
            </w:r>
          </w:p>
          <w:p w:rsidR="00BD3C44" w:rsidRPr="00433295" w:rsidRDefault="00BD3C44" w:rsidP="00BD3C44">
            <w:pPr>
              <w:pStyle w:val="a5"/>
              <w:shd w:val="clear" w:color="auto" w:fill="FFFFFF"/>
              <w:rPr>
                <w:bCs/>
                <w:lang w:val="ro-RO" w:eastAsia="ja-JP"/>
              </w:rPr>
            </w:pPr>
            <w:r w:rsidRPr="00433295">
              <w:rPr>
                <w:bCs/>
                <w:lang w:val="ro-RO" w:eastAsia="ja-JP"/>
              </w:rPr>
              <w:t>- pentru anii 2,3, 4, 5 a perioadei de reglementare de cinci ani costurile de bază se actualizează conform prevederilor din Metodologie.</w:t>
            </w:r>
          </w:p>
          <w:p w:rsidR="00BD3C44" w:rsidRPr="00433295" w:rsidRDefault="00BD3C44" w:rsidP="00BD3C44">
            <w:pPr>
              <w:pStyle w:val="a5"/>
              <w:shd w:val="clear" w:color="auto" w:fill="FFFFFF"/>
              <w:rPr>
                <w:bCs/>
                <w:lang w:val="ro-RO" w:eastAsia="ja-JP"/>
              </w:rPr>
            </w:pPr>
            <w:r w:rsidRPr="00433295">
              <w:rPr>
                <w:bCs/>
                <w:lang w:val="ro-RO" w:eastAsia="ja-JP"/>
              </w:rPr>
              <w:t>- operatorul sistemului de transport depune la Agenție cererea pentru aprobarea costurilor de bază/tarifelor reglementate, iar Agenția examinează cererile prezentate și, după caz, solicită de la operatorul sistemului de transport informații suplimentare și explicații care justifică cererea prezentată;</w:t>
            </w:r>
          </w:p>
          <w:p w:rsidR="00BD3C44" w:rsidRPr="00433295" w:rsidRDefault="00BD3C44" w:rsidP="00BD3C44">
            <w:pPr>
              <w:pStyle w:val="a5"/>
              <w:shd w:val="clear" w:color="auto" w:fill="FFFFFF"/>
              <w:rPr>
                <w:bCs/>
                <w:lang w:val="ro-RO" w:eastAsia="ja-JP"/>
              </w:rPr>
            </w:pPr>
            <w:r w:rsidRPr="00433295">
              <w:rPr>
                <w:bCs/>
                <w:lang w:val="ro-RO" w:eastAsia="ja-JP"/>
              </w:rPr>
              <w:t>- ulterior Agenția aprobă hotărârea cu privire la costurile de bază/tariful reglementat și le publică în Monitorul oficial al Republicii Moldova.</w:t>
            </w:r>
          </w:p>
          <w:p w:rsidR="004572C7" w:rsidRPr="00433295" w:rsidRDefault="00BD3C44" w:rsidP="00BD3C44">
            <w:pPr>
              <w:tabs>
                <w:tab w:val="left" w:pos="600"/>
              </w:tabs>
              <w:suppressAutoHyphens/>
              <w:spacing w:after="120"/>
              <w:ind w:firstLine="426"/>
              <w:jc w:val="both"/>
              <w:rPr>
                <w:rFonts w:ascii="Times New Roman" w:eastAsia="Times New Roman" w:hAnsi="Times New Roman" w:cs="Times New Roman"/>
                <w:iCs/>
                <w:sz w:val="24"/>
                <w:szCs w:val="24"/>
                <w:lang w:eastAsia="ar-SA"/>
              </w:rPr>
            </w:pPr>
            <w:r w:rsidRPr="00433295">
              <w:rPr>
                <w:rFonts w:ascii="Times New Roman" w:eastAsia="Times New Roman" w:hAnsi="Times New Roman" w:cs="Times New Roman"/>
                <w:bCs/>
                <w:sz w:val="24"/>
                <w:szCs w:val="24"/>
                <w:lang w:eastAsia="ja-JP"/>
              </w:rPr>
              <w:t xml:space="preserve">- Metodologia, prevede, de asemenea, modalitatea de actualizare extraordinară a tarifului în cazul în care parametrii care au fost luați în considerare la calcularea tarifului conduc la devieri tarifare mai mari decât 5 % </w:t>
            </w:r>
            <w:r w:rsidRPr="00433295">
              <w:rPr>
                <w:rFonts w:ascii="Times New Roman" w:eastAsia="Times New Roman" w:hAnsi="Times New Roman" w:cs="Times New Roman"/>
                <w:sz w:val="24"/>
                <w:szCs w:val="24"/>
              </w:rPr>
              <w:t>de la cheltuielile inițiale totale reglementate luate în calcule la stabilirea tarifului.</w:t>
            </w:r>
          </w:p>
          <w:p w:rsidR="006B3D4E" w:rsidRPr="00433295" w:rsidRDefault="006B3D4E" w:rsidP="006B3D4E">
            <w:pPr>
              <w:jc w:val="both"/>
              <w:rPr>
                <w:rFonts w:ascii="Times New Roman" w:eastAsia="Times New Roman" w:hAnsi="Times New Roman" w:cs="Times New Roman"/>
                <w:bCs/>
                <w:sz w:val="24"/>
                <w:szCs w:val="24"/>
              </w:rPr>
            </w:pPr>
          </w:p>
        </w:tc>
      </w:tr>
      <w:tr w:rsidR="00433295" w:rsidRPr="00433295" w:rsidTr="00A93569">
        <w:trPr>
          <w:trHeight w:val="70"/>
        </w:trPr>
        <w:tc>
          <w:tcPr>
            <w:tcW w:w="9520" w:type="dxa"/>
          </w:tcPr>
          <w:p w:rsidR="00412DD0" w:rsidRPr="00433295" w:rsidRDefault="00412DD0" w:rsidP="006B3D4E">
            <w:pPr>
              <w:pStyle w:val="a3"/>
              <w:ind w:left="21"/>
              <w:contextualSpacing w:val="0"/>
              <w:jc w:val="both"/>
              <w:rPr>
                <w:rFonts w:ascii="Times New Roman" w:hAnsi="Times New Roman" w:cs="Times New Roman"/>
                <w:sz w:val="24"/>
                <w:lang w:val="es-ES"/>
              </w:rPr>
            </w:pPr>
          </w:p>
        </w:tc>
      </w:tr>
      <w:tr w:rsidR="00433295" w:rsidRPr="00433295" w:rsidTr="00720A3E">
        <w:tc>
          <w:tcPr>
            <w:tcW w:w="9520" w:type="dxa"/>
          </w:tcPr>
          <w:p w:rsidR="00412DD0" w:rsidRPr="00433295" w:rsidRDefault="00412DD0" w:rsidP="007F3F73">
            <w:pPr>
              <w:pStyle w:val="a3"/>
              <w:numPr>
                <w:ilvl w:val="0"/>
                <w:numId w:val="4"/>
              </w:numPr>
              <w:spacing w:line="276" w:lineRule="auto"/>
              <w:ind w:left="34" w:firstLine="0"/>
              <w:jc w:val="both"/>
              <w:rPr>
                <w:rFonts w:ascii="Times New Roman" w:eastAsia="Times New Roman" w:hAnsi="Times New Roman" w:cs="Times New Roman"/>
                <w:b/>
                <w:bCs/>
                <w:i/>
                <w:sz w:val="24"/>
                <w:szCs w:val="24"/>
                <w:lang w:val="ro-RO"/>
              </w:rPr>
            </w:pPr>
            <w:r w:rsidRPr="00433295">
              <w:rPr>
                <w:rFonts w:ascii="Times New Roman" w:eastAsia="Times New Roman" w:hAnsi="Times New Roman" w:cs="Times New Roman"/>
                <w:b/>
                <w:bCs/>
                <w:i/>
                <w:sz w:val="24"/>
                <w:szCs w:val="24"/>
                <w:lang w:val="ro-RO"/>
              </w:rPr>
              <w:t xml:space="preserve">Fundamentarea </w:t>
            </w:r>
            <w:r w:rsidR="007F3F73" w:rsidRPr="00433295">
              <w:rPr>
                <w:rFonts w:ascii="Times New Roman" w:eastAsia="Times New Roman" w:hAnsi="Times New Roman" w:cs="Times New Roman"/>
                <w:b/>
                <w:bCs/>
                <w:i/>
                <w:sz w:val="24"/>
                <w:szCs w:val="24"/>
                <w:lang w:val="ro-RO"/>
              </w:rPr>
              <w:t>economico</w:t>
            </w:r>
            <w:r w:rsidR="00095D20" w:rsidRPr="00433295">
              <w:rPr>
                <w:rFonts w:ascii="Times New Roman" w:eastAsia="Times New Roman" w:hAnsi="Times New Roman" w:cs="Times New Roman"/>
                <w:b/>
                <w:bCs/>
                <w:i/>
                <w:sz w:val="24"/>
                <w:szCs w:val="24"/>
                <w:lang w:val="ro-RO"/>
              </w:rPr>
              <w:t xml:space="preserve"> </w:t>
            </w:r>
            <w:r w:rsidRPr="00433295">
              <w:rPr>
                <w:rFonts w:ascii="Times New Roman" w:eastAsia="Times New Roman" w:hAnsi="Times New Roman" w:cs="Times New Roman"/>
                <w:b/>
                <w:bCs/>
                <w:i/>
                <w:sz w:val="24"/>
                <w:szCs w:val="24"/>
                <w:lang w:val="ro-RO"/>
              </w:rPr>
              <w:t>-</w:t>
            </w:r>
            <w:r w:rsidR="00095D20" w:rsidRPr="00433295">
              <w:rPr>
                <w:rFonts w:ascii="Times New Roman" w:eastAsia="Times New Roman" w:hAnsi="Times New Roman" w:cs="Times New Roman"/>
                <w:b/>
                <w:bCs/>
                <w:i/>
                <w:sz w:val="24"/>
                <w:szCs w:val="24"/>
                <w:lang w:val="ro-RO"/>
              </w:rPr>
              <w:t xml:space="preserve"> </w:t>
            </w:r>
            <w:r w:rsidRPr="00433295">
              <w:rPr>
                <w:rFonts w:ascii="Times New Roman" w:eastAsia="Times New Roman" w:hAnsi="Times New Roman" w:cs="Times New Roman"/>
                <w:b/>
                <w:bCs/>
                <w:i/>
                <w:sz w:val="24"/>
                <w:szCs w:val="24"/>
                <w:lang w:val="ro-RO"/>
              </w:rPr>
              <w:t>financiară</w:t>
            </w:r>
          </w:p>
        </w:tc>
      </w:tr>
      <w:tr w:rsidR="00433295" w:rsidRPr="00433295" w:rsidTr="00720A3E">
        <w:tc>
          <w:tcPr>
            <w:tcW w:w="9520" w:type="dxa"/>
          </w:tcPr>
          <w:p w:rsidR="00944E44" w:rsidRPr="00433295" w:rsidRDefault="00B44CA1" w:rsidP="002D007F">
            <w:pPr>
              <w:pStyle w:val="a3"/>
              <w:spacing w:line="276" w:lineRule="auto"/>
              <w:ind w:left="34" w:firstLine="426"/>
              <w:jc w:val="both"/>
              <w:rPr>
                <w:rFonts w:ascii="Times New Roman" w:eastAsia="Times New Roman" w:hAnsi="Times New Roman" w:cs="Times New Roman"/>
                <w:bCs/>
                <w:sz w:val="24"/>
                <w:szCs w:val="24"/>
                <w:lang w:val="ro-RO"/>
              </w:rPr>
            </w:pPr>
            <w:r w:rsidRPr="00433295">
              <w:rPr>
                <w:rFonts w:ascii="Times New Roman" w:eastAsia="Times New Roman" w:hAnsi="Times New Roman"/>
                <w:bCs/>
                <w:iCs/>
                <w:sz w:val="24"/>
                <w:szCs w:val="24"/>
                <w:lang w:val="ro-RO" w:eastAsia="ar-SA"/>
              </w:rPr>
              <w:lastRenderedPageBreak/>
              <w:t>Existenta unei noi Metodologii de calculare, aprobare și aplicare a tarifelor pentru serviciul de transport a energiei electrice nu va afecta negativ activitatea întreprinderilor din sector, întrucât acestea vor avea posibilitatea să-și acopere costurile suportate prin intermediul tarifelor și prețurilor reglementate de Agenție</w:t>
            </w:r>
          </w:p>
        </w:tc>
      </w:tr>
      <w:tr w:rsidR="00433295" w:rsidRPr="00433295" w:rsidTr="00720A3E">
        <w:tc>
          <w:tcPr>
            <w:tcW w:w="9520" w:type="dxa"/>
          </w:tcPr>
          <w:p w:rsidR="00412DD0" w:rsidRPr="00433295" w:rsidRDefault="00412DD0" w:rsidP="00503F64">
            <w:pPr>
              <w:pStyle w:val="a3"/>
              <w:numPr>
                <w:ilvl w:val="0"/>
                <w:numId w:val="4"/>
              </w:numPr>
              <w:spacing w:line="276" w:lineRule="auto"/>
              <w:ind w:left="34" w:firstLine="0"/>
              <w:jc w:val="both"/>
              <w:rPr>
                <w:rFonts w:ascii="Times New Roman" w:eastAsia="Times New Roman" w:hAnsi="Times New Roman" w:cs="Times New Roman"/>
                <w:b/>
                <w:bCs/>
                <w:i/>
                <w:sz w:val="24"/>
                <w:szCs w:val="24"/>
                <w:lang w:val="ro-RO"/>
              </w:rPr>
            </w:pPr>
            <w:r w:rsidRPr="00433295">
              <w:rPr>
                <w:rFonts w:ascii="Times New Roman" w:eastAsia="Times New Roman" w:hAnsi="Times New Roman" w:cs="Times New Roman"/>
                <w:b/>
                <w:bCs/>
                <w:i/>
                <w:sz w:val="24"/>
                <w:szCs w:val="24"/>
                <w:lang w:val="ro-RO"/>
              </w:rPr>
              <w:t>Modul de încorporare a actului în cadrul normativ în vigoare</w:t>
            </w:r>
          </w:p>
        </w:tc>
      </w:tr>
      <w:tr w:rsidR="00433295" w:rsidRPr="00433295" w:rsidTr="00720A3E">
        <w:tc>
          <w:tcPr>
            <w:tcW w:w="9520" w:type="dxa"/>
          </w:tcPr>
          <w:p w:rsidR="004237CA" w:rsidRPr="00433295" w:rsidRDefault="004237CA" w:rsidP="004237CA">
            <w:pPr>
              <w:ind w:firstLine="587"/>
              <w:jc w:val="both"/>
              <w:rPr>
                <w:rFonts w:ascii="Times New Roman" w:hAnsi="Times New Roman" w:cs="Times New Roman"/>
                <w:sz w:val="24"/>
              </w:rPr>
            </w:pPr>
            <w:r w:rsidRPr="00433295">
              <w:rPr>
                <w:rFonts w:ascii="Times New Roman" w:hAnsi="Times New Roman" w:cs="Times New Roman"/>
                <w:sz w:val="24"/>
              </w:rPr>
              <w:t xml:space="preserve">Temeiul juridic pentru elaborarea unei noi Metodologii </w:t>
            </w:r>
            <w:r w:rsidR="00120AB4" w:rsidRPr="00433295">
              <w:rPr>
                <w:rFonts w:ascii="Times New Roman" w:hAnsi="Times New Roman" w:cs="Times New Roman"/>
                <w:sz w:val="24"/>
              </w:rPr>
              <w:t xml:space="preserve">este stabilit în </w:t>
            </w:r>
            <w:r w:rsidRPr="00433295">
              <w:rPr>
                <w:rFonts w:ascii="Times New Roman" w:hAnsi="Times New Roman" w:cs="Times New Roman"/>
                <w:sz w:val="24"/>
              </w:rPr>
              <w:t>prevederile art. 7,alin.(2), lit. a) din Legea nr. 107/2016 cu privire la energia electrică</w:t>
            </w:r>
            <w:r w:rsidR="00120AB4" w:rsidRPr="00433295">
              <w:rPr>
                <w:rFonts w:ascii="Times New Roman" w:hAnsi="Times New Roman" w:cs="Times New Roman"/>
                <w:sz w:val="24"/>
              </w:rPr>
              <w:t xml:space="preserve"> care menționează faptul, că</w:t>
            </w:r>
            <w:r w:rsidRPr="00433295">
              <w:rPr>
                <w:rFonts w:ascii="Times New Roman" w:hAnsi="Times New Roman" w:cs="Times New Roman"/>
                <w:sz w:val="24"/>
              </w:rPr>
              <w:t xml:space="preserve"> tarifele la serviciul de transport al energiei electrice se calculează și se aprobă de Agenție, conform unei metodologii prestabilite</w:t>
            </w:r>
            <w:r w:rsidRPr="00433295">
              <w:rPr>
                <w:rFonts w:ascii="Times New Roman" w:hAnsi="Times New Roman" w:cs="Times New Roman"/>
                <w:iCs/>
                <w:sz w:val="24"/>
              </w:rPr>
              <w:t>, elaborate și aprobate de ANRE.</w:t>
            </w:r>
            <w:r w:rsidRPr="00433295">
              <w:rPr>
                <w:rFonts w:ascii="Times New Roman" w:hAnsi="Times New Roman" w:cs="Times New Roman"/>
                <w:sz w:val="24"/>
              </w:rPr>
              <w:t xml:space="preserve"> </w:t>
            </w:r>
          </w:p>
          <w:p w:rsidR="000A2FC6" w:rsidRPr="00433295" w:rsidRDefault="000A2FC6" w:rsidP="000A2FC6">
            <w:pPr>
              <w:suppressAutoHyphens/>
              <w:spacing w:after="120"/>
              <w:ind w:firstLine="426"/>
              <w:jc w:val="both"/>
              <w:rPr>
                <w:rFonts w:ascii="Times New Roman" w:eastAsia="Times New Roman" w:hAnsi="Times New Roman" w:cs="Times New Roman"/>
                <w:sz w:val="24"/>
                <w:szCs w:val="24"/>
                <w:lang w:eastAsia="ar-SA"/>
              </w:rPr>
            </w:pPr>
            <w:r w:rsidRPr="00433295">
              <w:rPr>
                <w:rFonts w:ascii="Times New Roman" w:eastAsia="Times New Roman" w:hAnsi="Times New Roman" w:cs="Times New Roman"/>
                <w:iCs/>
                <w:sz w:val="24"/>
                <w:szCs w:val="24"/>
                <w:lang w:eastAsia="ar-SA"/>
              </w:rPr>
              <w:t xml:space="preserve">Concomitent, conform prevederilor art. 87 din Legea cu privire la </w:t>
            </w:r>
            <w:r w:rsidRPr="00433295">
              <w:rPr>
                <w:rFonts w:ascii="Times New Roman" w:eastAsia="Times New Roman" w:hAnsi="Times New Roman" w:cs="Times New Roman"/>
                <w:sz w:val="24"/>
                <w:szCs w:val="24"/>
                <w:lang w:eastAsia="ar-SA"/>
              </w:rPr>
              <w:t>energia electrică</w:t>
            </w:r>
            <w:r w:rsidRPr="00433295">
              <w:rPr>
                <w:rFonts w:ascii="Times New Roman" w:eastAsia="Times New Roman" w:hAnsi="Times New Roman" w:cs="Times New Roman"/>
                <w:iCs/>
                <w:sz w:val="24"/>
                <w:szCs w:val="24"/>
                <w:lang w:eastAsia="ar-SA"/>
              </w:rPr>
              <w:t xml:space="preserve">, Metodologia calculării și aplicării tarifelor reglementate </w:t>
            </w:r>
            <w:r w:rsidRPr="00433295">
              <w:rPr>
                <w:rFonts w:ascii="Times New Roman" w:eastAsia="Times New Roman" w:hAnsi="Times New Roman" w:cs="Times New Roman"/>
                <w:sz w:val="24"/>
                <w:szCs w:val="24"/>
                <w:lang w:eastAsia="ar-SA"/>
              </w:rPr>
              <w:t>trebuie să contribuie la aprovizionarea cu energie electrică, în mod continuu și fiabil, a consumatorilor finali, cu respectarea parametrilor de calitate și a indicatorilor de calitate stabiliți, funcționarea eficientă și asigurarea viabilității financiare a întreprinderilor electroenergetice în baza costurilor justificate  și strict necesare pentru desfășurarea activităților reglementate cu cheltuieli minime și cu utilizarea eficientă a obiectelor sistemului electroenergetic.</w:t>
            </w:r>
          </w:p>
          <w:p w:rsidR="00593AE4" w:rsidRPr="00433295" w:rsidRDefault="00593AE4" w:rsidP="00966ECC">
            <w:pPr>
              <w:pStyle w:val="a3"/>
              <w:ind w:left="34" w:firstLine="567"/>
              <w:jc w:val="both"/>
              <w:rPr>
                <w:rFonts w:ascii="Times New Roman" w:eastAsia="Times New Roman" w:hAnsi="Times New Roman" w:cs="Times New Roman"/>
                <w:bCs/>
                <w:sz w:val="24"/>
                <w:szCs w:val="24"/>
                <w:lang w:val="ro-RO"/>
              </w:rPr>
            </w:pPr>
          </w:p>
        </w:tc>
      </w:tr>
      <w:tr w:rsidR="00433295" w:rsidRPr="00433295" w:rsidTr="00720A3E">
        <w:tc>
          <w:tcPr>
            <w:tcW w:w="9520" w:type="dxa"/>
          </w:tcPr>
          <w:p w:rsidR="00412DD0" w:rsidRPr="00433295" w:rsidRDefault="00412DD0" w:rsidP="00503F64">
            <w:pPr>
              <w:pStyle w:val="a3"/>
              <w:numPr>
                <w:ilvl w:val="0"/>
                <w:numId w:val="4"/>
              </w:numPr>
              <w:spacing w:line="276" w:lineRule="auto"/>
              <w:ind w:left="34" w:firstLine="0"/>
              <w:jc w:val="both"/>
              <w:rPr>
                <w:rFonts w:ascii="Times New Roman" w:eastAsia="Times New Roman" w:hAnsi="Times New Roman" w:cs="Times New Roman"/>
                <w:b/>
                <w:bCs/>
                <w:i/>
                <w:sz w:val="24"/>
                <w:szCs w:val="24"/>
                <w:lang w:val="ro-RO"/>
              </w:rPr>
            </w:pPr>
            <w:r w:rsidRPr="00433295">
              <w:rPr>
                <w:rFonts w:ascii="Times New Roman" w:eastAsia="Times New Roman" w:hAnsi="Times New Roman" w:cs="Times New Roman"/>
                <w:b/>
                <w:bCs/>
                <w:i/>
                <w:sz w:val="24"/>
                <w:szCs w:val="24"/>
                <w:lang w:val="ro-RO"/>
              </w:rPr>
              <w:t>Avizarea și consultarea publică a proiectului</w:t>
            </w:r>
          </w:p>
        </w:tc>
      </w:tr>
      <w:tr w:rsidR="00433295" w:rsidRPr="00433295" w:rsidTr="00720A3E">
        <w:tc>
          <w:tcPr>
            <w:tcW w:w="9520" w:type="dxa"/>
          </w:tcPr>
          <w:p w:rsidR="001F4112" w:rsidRPr="00433295" w:rsidRDefault="001F4112" w:rsidP="001F4112">
            <w:pPr>
              <w:pStyle w:val="BodyText1"/>
              <w:tabs>
                <w:tab w:val="left" w:pos="600"/>
              </w:tabs>
              <w:autoSpaceDN w:val="0"/>
              <w:spacing w:after="0"/>
              <w:ind w:firstLine="426"/>
              <w:rPr>
                <w:bCs/>
                <w:lang w:val="ro-RO"/>
              </w:rPr>
            </w:pPr>
            <w:r w:rsidRPr="00433295">
              <w:rPr>
                <w:bCs/>
                <w:lang w:val="ro-RO"/>
              </w:rPr>
              <w:t xml:space="preserve">Referitor la oportunitatea aprobării de către ANRE a proiectului </w:t>
            </w:r>
            <w:r w:rsidR="000A2FC6" w:rsidRPr="00433295">
              <w:rPr>
                <w:bCs/>
                <w:lang w:val="ro-RO"/>
              </w:rPr>
              <w:t>noii Metodologii</w:t>
            </w:r>
            <w:r w:rsidR="000A2FC6" w:rsidRPr="00433295">
              <w:rPr>
                <w:rFonts w:cstheme="minorBidi"/>
                <w:bCs/>
                <w:iCs/>
                <w:lang w:val="ro-RO"/>
              </w:rPr>
              <w:t xml:space="preserve"> </w:t>
            </w:r>
            <w:r w:rsidR="000A2FC6" w:rsidRPr="00433295">
              <w:rPr>
                <w:bCs/>
                <w:iCs/>
                <w:lang w:val="ro-RO"/>
              </w:rPr>
              <w:t>de calculare, aprobare și aplicare a tarifelor pentru serviciul de transport a energiei electrice</w:t>
            </w:r>
            <w:r w:rsidRPr="00433295">
              <w:rPr>
                <w:bCs/>
                <w:lang w:val="ro-RO"/>
              </w:rPr>
              <w:t xml:space="preserve">, Agenția a demarat procesul de consultare cu părțile interesate, </w:t>
            </w:r>
            <w:r w:rsidR="00966ECC" w:rsidRPr="00433295">
              <w:rPr>
                <w:bCs/>
                <w:lang w:val="ro-RO"/>
              </w:rPr>
              <w:t>plasând</w:t>
            </w:r>
            <w:r w:rsidRPr="00433295">
              <w:rPr>
                <w:bCs/>
                <w:lang w:val="ro-RO"/>
              </w:rPr>
              <w:t xml:space="preserve"> pe pagina web oficială, www.anre.md, la rubrica Transparența decizională/Proiecte supuse consultării publice </w:t>
            </w:r>
            <w:r w:rsidR="00966ECC" w:rsidRPr="00433295">
              <w:rPr>
                <w:bCs/>
                <w:lang w:val="ro-RO"/>
              </w:rPr>
              <w:t xml:space="preserve">proiectul </w:t>
            </w:r>
            <w:r w:rsidR="000A2FC6" w:rsidRPr="00433295">
              <w:rPr>
                <w:bCs/>
                <w:lang w:val="ro-RO"/>
              </w:rPr>
              <w:t>Metodologiei</w:t>
            </w:r>
            <w:r w:rsidR="00966ECC" w:rsidRPr="00433295">
              <w:rPr>
                <w:bCs/>
                <w:lang w:val="ro-RO"/>
              </w:rPr>
              <w:t xml:space="preserve"> împreună cu </w:t>
            </w:r>
            <w:r w:rsidRPr="00433295">
              <w:rPr>
                <w:bCs/>
                <w:lang w:val="ro-RO"/>
              </w:rPr>
              <w:t xml:space="preserve">Analiza Preliminară a Impactului de Reglementare, astfel încât orice persoană interesată </w:t>
            </w:r>
            <w:r w:rsidR="00966ECC" w:rsidRPr="00433295">
              <w:rPr>
                <w:bCs/>
                <w:lang w:val="ro-RO"/>
              </w:rPr>
              <w:t>să aibă</w:t>
            </w:r>
            <w:r w:rsidRPr="00433295">
              <w:rPr>
                <w:bCs/>
                <w:lang w:val="ro-RO"/>
              </w:rPr>
              <w:t xml:space="preserve">  posibilitatea de a accesa documentele respective </w:t>
            </w:r>
            <w:r w:rsidR="00966ECC" w:rsidRPr="00433295">
              <w:rPr>
                <w:bCs/>
                <w:lang w:val="ro-RO"/>
              </w:rPr>
              <w:t>și</w:t>
            </w:r>
            <w:r w:rsidRPr="00433295">
              <w:rPr>
                <w:bCs/>
                <w:lang w:val="ro-RO"/>
              </w:rPr>
              <w:t xml:space="preserve"> de a prezenta propuneri și obiecții pe marginea lor, inclusiv prin </w:t>
            </w:r>
            <w:r w:rsidR="00966ECC" w:rsidRPr="00433295">
              <w:rPr>
                <w:bCs/>
                <w:lang w:val="ro-RO"/>
              </w:rPr>
              <w:t>poșta</w:t>
            </w:r>
            <w:r w:rsidRPr="00433295">
              <w:rPr>
                <w:bCs/>
                <w:lang w:val="ro-RO"/>
              </w:rPr>
              <w:t xml:space="preserve"> electronică, la</w:t>
            </w:r>
            <w:r w:rsidR="00966ECC" w:rsidRPr="00433295">
              <w:rPr>
                <w:bCs/>
                <w:lang w:val="ro-RO"/>
              </w:rPr>
              <w:t xml:space="preserve"> adresa electronica indicată în anunț</w:t>
            </w:r>
            <w:r w:rsidRPr="00433295">
              <w:rPr>
                <w:bCs/>
                <w:lang w:val="ro-RO"/>
              </w:rPr>
              <w:t xml:space="preserve">. </w:t>
            </w:r>
          </w:p>
          <w:p w:rsidR="002F4DD3" w:rsidRDefault="00B5133D" w:rsidP="00A93569">
            <w:pPr>
              <w:pStyle w:val="BodyText1"/>
              <w:tabs>
                <w:tab w:val="left" w:pos="600"/>
              </w:tabs>
              <w:autoSpaceDN w:val="0"/>
              <w:ind w:firstLine="426"/>
              <w:rPr>
                <w:bCs/>
                <w:lang w:val="ro-RO"/>
              </w:rPr>
            </w:pPr>
            <w:r w:rsidRPr="00433295">
              <w:rPr>
                <w:bCs/>
                <w:lang w:val="ro-RO"/>
              </w:rPr>
              <w:t>Toate obiecțiile și propunerile expediate în adresa Agenției au fost examinate și luate în considerare la îmbunătățirea proiectului Metodologiei. Rezultatul examinării avizelor părților interesate a fost inclus în Sinteza propunerilor și obiecțiilor la proiect, care este plasat pe pagina oficială a Agenției la rubrica Transparență decizională/Proiecte supuse consultării publice</w:t>
            </w:r>
            <w:r w:rsidR="002F4DD3">
              <w:rPr>
                <w:bCs/>
                <w:lang w:val="ro-RO"/>
              </w:rPr>
              <w:t>.</w:t>
            </w:r>
          </w:p>
          <w:p w:rsidR="00A37825" w:rsidRPr="00433295" w:rsidRDefault="002E065C" w:rsidP="00A93569">
            <w:pPr>
              <w:pStyle w:val="BodyText1"/>
              <w:tabs>
                <w:tab w:val="left" w:pos="600"/>
              </w:tabs>
              <w:autoSpaceDN w:val="0"/>
              <w:ind w:firstLine="426"/>
              <w:rPr>
                <w:bCs/>
                <w:lang w:val="ro-RO"/>
              </w:rPr>
            </w:pPr>
            <w:r w:rsidRPr="00433295">
              <w:rPr>
                <w:bCs/>
                <w:lang w:val="ro-RO"/>
              </w:rPr>
              <w:t xml:space="preserve">Au </w:t>
            </w:r>
            <w:r w:rsidR="00F0747E" w:rsidRPr="00433295">
              <w:rPr>
                <w:bCs/>
                <w:lang w:val="ro-RO"/>
              </w:rPr>
              <w:t>f</w:t>
            </w:r>
            <w:r w:rsidRPr="00433295">
              <w:rPr>
                <w:bCs/>
                <w:lang w:val="ro-RO"/>
              </w:rPr>
              <w:t>ost</w:t>
            </w:r>
            <w:r w:rsidR="001F4112" w:rsidRPr="00433295">
              <w:rPr>
                <w:bCs/>
                <w:lang w:val="ro-RO"/>
              </w:rPr>
              <w:t xml:space="preserve"> organizate ședințe de lucru cu părțile interesate în cadrul cărora </w:t>
            </w:r>
            <w:r w:rsidRPr="00433295">
              <w:rPr>
                <w:bCs/>
                <w:lang w:val="ro-RO"/>
              </w:rPr>
              <w:t>au fost</w:t>
            </w:r>
            <w:r w:rsidR="00F0747E" w:rsidRPr="00433295">
              <w:rPr>
                <w:bCs/>
                <w:lang w:val="ro-RO"/>
              </w:rPr>
              <w:t xml:space="preserve"> evalua</w:t>
            </w:r>
            <w:r w:rsidRPr="00433295">
              <w:rPr>
                <w:bCs/>
                <w:lang w:val="ro-RO"/>
              </w:rPr>
              <w:t>te</w:t>
            </w:r>
            <w:r w:rsidR="007F3F73" w:rsidRPr="00433295">
              <w:rPr>
                <w:bCs/>
                <w:lang w:val="ro-RO"/>
              </w:rPr>
              <w:t xml:space="preserve"> comentariile/propunerile la</w:t>
            </w:r>
            <w:r w:rsidR="001F4112" w:rsidRPr="00433295">
              <w:rPr>
                <w:bCs/>
                <w:lang w:val="ro-RO"/>
              </w:rPr>
              <w:t xml:space="preserve"> proiectul </w:t>
            </w:r>
            <w:r w:rsidR="002D007F" w:rsidRPr="00433295">
              <w:rPr>
                <w:bCs/>
                <w:lang w:val="ro-RO"/>
              </w:rPr>
              <w:t xml:space="preserve"> </w:t>
            </w:r>
            <w:r w:rsidR="00F0747E" w:rsidRPr="00433295">
              <w:rPr>
                <w:bCs/>
                <w:lang w:val="ro-RO"/>
              </w:rPr>
              <w:t>Metodologiei</w:t>
            </w:r>
            <w:r w:rsidRPr="00433295">
              <w:rPr>
                <w:bCs/>
                <w:lang w:val="ro-RO"/>
              </w:rPr>
              <w:t xml:space="preserve">, astfel fiind îmbunătățit conținutul actului normativ </w:t>
            </w:r>
            <w:r w:rsidR="001F4112" w:rsidRPr="00433295">
              <w:rPr>
                <w:bCs/>
                <w:lang w:val="ro-RO"/>
              </w:rPr>
              <w:t>.</w:t>
            </w:r>
          </w:p>
        </w:tc>
      </w:tr>
      <w:tr w:rsidR="00433295" w:rsidRPr="00433295" w:rsidTr="00720A3E">
        <w:tc>
          <w:tcPr>
            <w:tcW w:w="9520" w:type="dxa"/>
          </w:tcPr>
          <w:p w:rsidR="00412DD0" w:rsidRPr="00433295" w:rsidRDefault="00412DD0" w:rsidP="00503F64">
            <w:pPr>
              <w:numPr>
                <w:ilvl w:val="0"/>
                <w:numId w:val="4"/>
              </w:numPr>
              <w:jc w:val="both"/>
              <w:rPr>
                <w:rFonts w:ascii="Times New Roman" w:hAnsi="Times New Roman" w:cs="Times New Roman"/>
                <w:b/>
                <w:bCs/>
                <w:i/>
                <w:sz w:val="24"/>
                <w:szCs w:val="24"/>
              </w:rPr>
            </w:pPr>
            <w:r w:rsidRPr="00433295">
              <w:rPr>
                <w:rFonts w:ascii="Times New Roman" w:hAnsi="Times New Roman" w:cs="Times New Roman"/>
                <w:b/>
                <w:bCs/>
                <w:i/>
                <w:sz w:val="24"/>
                <w:szCs w:val="24"/>
              </w:rPr>
              <w:t>Constatările</w:t>
            </w:r>
            <w:r w:rsidRPr="00433295">
              <w:rPr>
                <w:rFonts w:ascii="Times New Roman" w:hAnsi="Times New Roman"/>
                <w:b/>
                <w:i/>
                <w:sz w:val="24"/>
                <w:szCs w:val="24"/>
              </w:rPr>
              <w:t xml:space="preserve"> expertizei anticorupție</w:t>
            </w:r>
          </w:p>
        </w:tc>
      </w:tr>
      <w:tr w:rsidR="00433295" w:rsidRPr="00433295" w:rsidTr="00720A3E">
        <w:tc>
          <w:tcPr>
            <w:tcW w:w="9520" w:type="dxa"/>
          </w:tcPr>
          <w:p w:rsidR="006F1D8A" w:rsidRPr="00433295" w:rsidRDefault="00F81B59" w:rsidP="00F81B59">
            <w:pPr>
              <w:spacing w:line="276" w:lineRule="auto"/>
              <w:ind w:firstLine="459"/>
              <w:jc w:val="both"/>
              <w:rPr>
                <w:rFonts w:ascii="Times New Roman" w:hAnsi="Times New Roman" w:cs="Times New Roman"/>
                <w:bCs/>
                <w:sz w:val="24"/>
                <w:szCs w:val="24"/>
              </w:rPr>
            </w:pPr>
            <w:r>
              <w:rPr>
                <w:rFonts w:ascii="Times New Roman" w:hAnsi="Times New Roman" w:cs="Times New Roman"/>
                <w:bCs/>
                <w:sz w:val="24"/>
                <w:szCs w:val="24"/>
              </w:rPr>
              <w:t>Aviz nr. EDA23/8988 din 22.08.2023 (fiind luate în considerare recomandările Centrului Național Anticorupție)</w:t>
            </w:r>
          </w:p>
        </w:tc>
      </w:tr>
      <w:tr w:rsidR="00433295" w:rsidRPr="00433295" w:rsidTr="00720A3E">
        <w:tc>
          <w:tcPr>
            <w:tcW w:w="9520" w:type="dxa"/>
          </w:tcPr>
          <w:p w:rsidR="00412DD0" w:rsidRPr="00433295" w:rsidRDefault="00412DD0" w:rsidP="00503F64">
            <w:pPr>
              <w:numPr>
                <w:ilvl w:val="0"/>
                <w:numId w:val="4"/>
              </w:numPr>
              <w:jc w:val="both"/>
              <w:rPr>
                <w:rFonts w:ascii="Times New Roman" w:hAnsi="Times New Roman" w:cs="Times New Roman"/>
                <w:bCs/>
                <w:sz w:val="24"/>
                <w:szCs w:val="24"/>
              </w:rPr>
            </w:pPr>
            <w:r w:rsidRPr="00433295">
              <w:rPr>
                <w:rFonts w:ascii="Times New Roman" w:hAnsi="Times New Roman" w:cs="Times New Roman"/>
                <w:b/>
                <w:bCs/>
                <w:i/>
                <w:sz w:val="24"/>
                <w:szCs w:val="24"/>
              </w:rPr>
              <w:t>Constatările expertizei de compatibilitate</w:t>
            </w:r>
          </w:p>
        </w:tc>
      </w:tr>
      <w:tr w:rsidR="00433295" w:rsidRPr="00433295" w:rsidTr="00720A3E">
        <w:tc>
          <w:tcPr>
            <w:tcW w:w="9520" w:type="dxa"/>
          </w:tcPr>
          <w:p w:rsidR="00FD24B9" w:rsidRPr="00433295" w:rsidRDefault="003911DF" w:rsidP="00503F64">
            <w:pPr>
              <w:ind w:firstLine="459"/>
              <w:jc w:val="both"/>
              <w:rPr>
                <w:rFonts w:ascii="Times New Roman" w:hAnsi="Times New Roman" w:cs="Times New Roman"/>
                <w:bCs/>
                <w:sz w:val="24"/>
                <w:szCs w:val="24"/>
              </w:rPr>
            </w:pPr>
            <w:r w:rsidRPr="00433295">
              <w:rPr>
                <w:rFonts w:ascii="Times New Roman" w:hAnsi="Times New Roman" w:cs="Times New Roman"/>
                <w:bCs/>
                <w:sz w:val="24"/>
                <w:szCs w:val="24"/>
              </w:rPr>
              <w:t>Neaplicabil</w:t>
            </w:r>
          </w:p>
        </w:tc>
      </w:tr>
      <w:tr w:rsidR="00433295" w:rsidRPr="00433295" w:rsidTr="00720A3E">
        <w:tc>
          <w:tcPr>
            <w:tcW w:w="9520" w:type="dxa"/>
          </w:tcPr>
          <w:p w:rsidR="00412DD0" w:rsidRPr="00433295" w:rsidRDefault="00412DD0" w:rsidP="00503F64">
            <w:pPr>
              <w:numPr>
                <w:ilvl w:val="0"/>
                <w:numId w:val="4"/>
              </w:numPr>
              <w:jc w:val="both"/>
              <w:rPr>
                <w:rFonts w:ascii="Times New Roman" w:hAnsi="Times New Roman" w:cs="Times New Roman"/>
                <w:b/>
                <w:bCs/>
                <w:i/>
                <w:sz w:val="24"/>
                <w:szCs w:val="24"/>
              </w:rPr>
            </w:pPr>
            <w:r w:rsidRPr="00433295">
              <w:rPr>
                <w:rFonts w:ascii="Times New Roman" w:hAnsi="Times New Roman" w:cs="Times New Roman"/>
                <w:b/>
                <w:bCs/>
                <w:i/>
                <w:sz w:val="24"/>
                <w:szCs w:val="24"/>
              </w:rPr>
              <w:t>Constatările</w:t>
            </w:r>
            <w:r w:rsidRPr="00433295">
              <w:rPr>
                <w:rFonts w:ascii="Times New Roman" w:hAnsi="Times New Roman"/>
                <w:b/>
                <w:i/>
                <w:sz w:val="24"/>
                <w:szCs w:val="24"/>
              </w:rPr>
              <w:t xml:space="preserve"> expertizei juridice</w:t>
            </w:r>
          </w:p>
        </w:tc>
      </w:tr>
      <w:tr w:rsidR="00433295" w:rsidRPr="00433295" w:rsidTr="00720A3E">
        <w:tc>
          <w:tcPr>
            <w:tcW w:w="9520" w:type="dxa"/>
          </w:tcPr>
          <w:p w:rsidR="00E53C02" w:rsidRDefault="00B35F7A" w:rsidP="00503F64">
            <w:pPr>
              <w:spacing w:line="276" w:lineRule="auto"/>
              <w:ind w:firstLine="459"/>
              <w:jc w:val="both"/>
              <w:rPr>
                <w:rFonts w:ascii="Times New Roman" w:hAnsi="Times New Roman" w:cs="Times New Roman"/>
                <w:bCs/>
                <w:sz w:val="24"/>
                <w:szCs w:val="24"/>
              </w:rPr>
            </w:pPr>
            <w:r>
              <w:rPr>
                <w:rFonts w:ascii="Times New Roman" w:hAnsi="Times New Roman" w:cs="Times New Roman"/>
                <w:bCs/>
                <w:sz w:val="24"/>
                <w:szCs w:val="24"/>
              </w:rPr>
              <w:t>Aviz nr.04/02-8196 din 14.09.2013 din partea Ministerului Justiției al R. Moldova</w:t>
            </w:r>
          </w:p>
          <w:p w:rsidR="00B35F7A" w:rsidRPr="00433295" w:rsidRDefault="00B35F7A" w:rsidP="00503F64">
            <w:pPr>
              <w:spacing w:line="276" w:lineRule="auto"/>
              <w:ind w:firstLine="459"/>
              <w:jc w:val="both"/>
              <w:rPr>
                <w:rFonts w:ascii="Times New Roman" w:hAnsi="Times New Roman"/>
                <w:sz w:val="24"/>
                <w:szCs w:val="24"/>
              </w:rPr>
            </w:pPr>
            <w:r>
              <w:rPr>
                <w:rFonts w:ascii="Times New Roman" w:hAnsi="Times New Roman" w:cs="Times New Roman"/>
                <w:bCs/>
                <w:sz w:val="24"/>
                <w:szCs w:val="24"/>
              </w:rPr>
              <w:t xml:space="preserve">(au fost luate în considerare obiecțiile </w:t>
            </w:r>
            <w:r w:rsidRPr="00B35F7A">
              <w:rPr>
                <w:rFonts w:ascii="Times New Roman" w:hAnsi="Times New Roman" w:cs="Times New Roman"/>
                <w:bCs/>
                <w:sz w:val="24"/>
                <w:szCs w:val="24"/>
              </w:rPr>
              <w:t>Ministerului Justiției</w:t>
            </w:r>
            <w:r>
              <w:rPr>
                <w:rFonts w:ascii="Times New Roman" w:hAnsi="Times New Roman" w:cs="Times New Roman"/>
                <w:bCs/>
                <w:sz w:val="24"/>
                <w:szCs w:val="24"/>
              </w:rPr>
              <w:t>)</w:t>
            </w:r>
          </w:p>
        </w:tc>
      </w:tr>
      <w:tr w:rsidR="00433295" w:rsidRPr="00433295" w:rsidTr="00720A3E">
        <w:tc>
          <w:tcPr>
            <w:tcW w:w="9520" w:type="dxa"/>
          </w:tcPr>
          <w:p w:rsidR="00412DD0" w:rsidRPr="00433295" w:rsidRDefault="00412DD0" w:rsidP="00503F64">
            <w:pPr>
              <w:numPr>
                <w:ilvl w:val="0"/>
                <w:numId w:val="4"/>
              </w:numPr>
              <w:jc w:val="both"/>
              <w:rPr>
                <w:rFonts w:ascii="Times New Roman" w:hAnsi="Times New Roman"/>
                <w:sz w:val="24"/>
                <w:szCs w:val="24"/>
              </w:rPr>
            </w:pPr>
            <w:r w:rsidRPr="00433295">
              <w:rPr>
                <w:rFonts w:ascii="Times New Roman" w:hAnsi="Times New Roman" w:cs="Times New Roman"/>
                <w:b/>
                <w:bCs/>
                <w:i/>
                <w:sz w:val="24"/>
                <w:szCs w:val="24"/>
              </w:rPr>
              <w:t>Constatările altor expertize</w:t>
            </w:r>
          </w:p>
        </w:tc>
      </w:tr>
      <w:tr w:rsidR="00433295" w:rsidRPr="00433295" w:rsidTr="00720A3E">
        <w:tc>
          <w:tcPr>
            <w:tcW w:w="9520" w:type="dxa"/>
          </w:tcPr>
          <w:p w:rsidR="00412DD0" w:rsidRPr="00433295" w:rsidRDefault="00257A2D" w:rsidP="00257A2D">
            <w:pPr>
              <w:spacing w:line="276" w:lineRule="auto"/>
              <w:ind w:firstLine="459"/>
              <w:jc w:val="both"/>
              <w:rPr>
                <w:rFonts w:ascii="Times New Roman" w:hAnsi="Times New Roman"/>
                <w:sz w:val="24"/>
                <w:szCs w:val="24"/>
              </w:rPr>
            </w:pPr>
            <w:r w:rsidRPr="00433295">
              <w:rPr>
                <w:rFonts w:ascii="Times New Roman" w:hAnsi="Times New Roman"/>
                <w:sz w:val="24"/>
                <w:szCs w:val="24"/>
              </w:rPr>
              <w:t>Aviz pozitiv din partea Grupului</w:t>
            </w:r>
            <w:r w:rsidRPr="00433295">
              <w:rPr>
                <w:rFonts w:ascii="Times New Roman" w:eastAsiaTheme="minorHAnsi" w:hAnsi="Times New Roman" w:cs="Times New Roman"/>
                <w:bCs/>
                <w:sz w:val="24"/>
                <w:szCs w:val="24"/>
                <w:lang w:eastAsia="en-US"/>
              </w:rPr>
              <w:t xml:space="preserve"> </w:t>
            </w:r>
            <w:r w:rsidRPr="00433295">
              <w:rPr>
                <w:rFonts w:ascii="Times New Roman" w:hAnsi="Times New Roman"/>
                <w:bCs/>
                <w:sz w:val="24"/>
                <w:szCs w:val="24"/>
              </w:rPr>
              <w:t>de lucrul al Comisiei de stat pentru reglementarea activității de întreprinzător din 08.08.2023</w:t>
            </w:r>
          </w:p>
        </w:tc>
      </w:tr>
    </w:tbl>
    <w:p w:rsidR="00720A3E" w:rsidRDefault="00720A3E" w:rsidP="00720A3E">
      <w:pPr>
        <w:tabs>
          <w:tab w:val="left" w:pos="851"/>
        </w:tabs>
        <w:spacing w:after="0" w:line="240" w:lineRule="auto"/>
        <w:jc w:val="both"/>
        <w:rPr>
          <w:rFonts w:ascii="Times New Roman" w:hAnsi="Times New Roman" w:cs="Times New Roman"/>
          <w:bCs/>
          <w:iCs/>
          <w:sz w:val="26"/>
          <w:szCs w:val="26"/>
        </w:rPr>
      </w:pPr>
      <w:bookmarkStart w:id="0" w:name="_GoBack"/>
      <w:bookmarkEnd w:id="0"/>
    </w:p>
    <w:sectPr w:rsidR="00720A3E" w:rsidSect="00720A3E">
      <w:pgSz w:w="11906" w:h="16838"/>
      <w:pgMar w:top="426" w:right="850" w:bottom="0"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name w:val="WW8Num4"/>
    <w:lvl w:ilvl="0">
      <w:numFmt w:val="bullet"/>
      <w:lvlText w:val="-"/>
      <w:lvlJc w:val="left"/>
      <w:pPr>
        <w:tabs>
          <w:tab w:val="num" w:pos="600"/>
        </w:tabs>
        <w:ind w:left="600" w:hanging="360"/>
      </w:pPr>
      <w:rPr>
        <w:rFonts w:ascii="Times New Roman" w:hAnsi="Times New Roman" w:cs="Times New Roman"/>
      </w:rPr>
    </w:lvl>
  </w:abstractNum>
  <w:abstractNum w:abstractNumId="1" w15:restartNumberingAfterBreak="0">
    <w:nsid w:val="012213B2"/>
    <w:multiLevelType w:val="hybridMultilevel"/>
    <w:tmpl w:val="A192D2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589016B"/>
    <w:multiLevelType w:val="hybridMultilevel"/>
    <w:tmpl w:val="75942784"/>
    <w:lvl w:ilvl="0" w:tplc="0409000F">
      <w:start w:val="1"/>
      <w:numFmt w:val="decimal"/>
      <w:lvlText w:val="%1."/>
      <w:lvlJc w:val="left"/>
      <w:pPr>
        <w:ind w:left="1069" w:hanging="360"/>
      </w:pPr>
      <w:rPr>
        <w:rFonts w:hint="default"/>
      </w:rPr>
    </w:lvl>
    <w:lvl w:ilvl="1" w:tplc="04180019" w:tentative="1">
      <w:start w:val="1"/>
      <w:numFmt w:val="lowerLetter"/>
      <w:lvlText w:val="%2."/>
      <w:lvlJc w:val="left"/>
      <w:pPr>
        <w:ind w:left="1789" w:hanging="360"/>
      </w:pPr>
    </w:lvl>
    <w:lvl w:ilvl="2" w:tplc="0418001B" w:tentative="1">
      <w:start w:val="1"/>
      <w:numFmt w:val="lowerRoman"/>
      <w:lvlText w:val="%3."/>
      <w:lvlJc w:val="right"/>
      <w:pPr>
        <w:ind w:left="2509" w:hanging="180"/>
      </w:pPr>
    </w:lvl>
    <w:lvl w:ilvl="3" w:tplc="0418000F" w:tentative="1">
      <w:start w:val="1"/>
      <w:numFmt w:val="decimal"/>
      <w:lvlText w:val="%4."/>
      <w:lvlJc w:val="left"/>
      <w:pPr>
        <w:ind w:left="3229" w:hanging="360"/>
      </w:pPr>
    </w:lvl>
    <w:lvl w:ilvl="4" w:tplc="04180019" w:tentative="1">
      <w:start w:val="1"/>
      <w:numFmt w:val="lowerLetter"/>
      <w:lvlText w:val="%5."/>
      <w:lvlJc w:val="left"/>
      <w:pPr>
        <w:ind w:left="3949" w:hanging="360"/>
      </w:pPr>
    </w:lvl>
    <w:lvl w:ilvl="5" w:tplc="0418001B" w:tentative="1">
      <w:start w:val="1"/>
      <w:numFmt w:val="lowerRoman"/>
      <w:lvlText w:val="%6."/>
      <w:lvlJc w:val="right"/>
      <w:pPr>
        <w:ind w:left="4669" w:hanging="180"/>
      </w:pPr>
    </w:lvl>
    <w:lvl w:ilvl="6" w:tplc="0418000F" w:tentative="1">
      <w:start w:val="1"/>
      <w:numFmt w:val="decimal"/>
      <w:lvlText w:val="%7."/>
      <w:lvlJc w:val="left"/>
      <w:pPr>
        <w:ind w:left="5389" w:hanging="360"/>
      </w:pPr>
    </w:lvl>
    <w:lvl w:ilvl="7" w:tplc="04180019" w:tentative="1">
      <w:start w:val="1"/>
      <w:numFmt w:val="lowerLetter"/>
      <w:lvlText w:val="%8."/>
      <w:lvlJc w:val="left"/>
      <w:pPr>
        <w:ind w:left="6109" w:hanging="360"/>
      </w:pPr>
    </w:lvl>
    <w:lvl w:ilvl="8" w:tplc="0418001B" w:tentative="1">
      <w:start w:val="1"/>
      <w:numFmt w:val="lowerRoman"/>
      <w:lvlText w:val="%9."/>
      <w:lvlJc w:val="right"/>
      <w:pPr>
        <w:ind w:left="6829" w:hanging="180"/>
      </w:pPr>
    </w:lvl>
  </w:abstractNum>
  <w:abstractNum w:abstractNumId="3" w15:restartNumberingAfterBreak="0">
    <w:nsid w:val="06686444"/>
    <w:multiLevelType w:val="hybridMultilevel"/>
    <w:tmpl w:val="B0F0793C"/>
    <w:lvl w:ilvl="0" w:tplc="0409000F">
      <w:start w:val="1"/>
      <w:numFmt w:val="decimal"/>
      <w:lvlText w:val="%1."/>
      <w:lvlJc w:val="left"/>
      <w:pPr>
        <w:ind w:left="92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A50938"/>
    <w:multiLevelType w:val="hybridMultilevel"/>
    <w:tmpl w:val="3940DFDC"/>
    <w:lvl w:ilvl="0" w:tplc="0409000F">
      <w:start w:val="1"/>
      <w:numFmt w:val="decimal"/>
      <w:lvlText w:val="%1."/>
      <w:lvlJc w:val="left"/>
      <w:pPr>
        <w:ind w:left="720" w:hanging="360"/>
      </w:pPr>
    </w:lvl>
    <w:lvl w:ilvl="1" w:tplc="87E83CA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851E45"/>
    <w:multiLevelType w:val="hybridMultilevel"/>
    <w:tmpl w:val="72B4D34A"/>
    <w:lvl w:ilvl="0" w:tplc="7FB00A1C">
      <w:start w:val="1"/>
      <w:numFmt w:val="decimal"/>
      <w:lvlText w:val="%1."/>
      <w:lvlJc w:val="left"/>
      <w:pPr>
        <w:ind w:left="720"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FD3518B"/>
    <w:multiLevelType w:val="hybridMultilevel"/>
    <w:tmpl w:val="75942784"/>
    <w:lvl w:ilvl="0" w:tplc="0409000F">
      <w:start w:val="1"/>
      <w:numFmt w:val="decimal"/>
      <w:lvlText w:val="%1."/>
      <w:lvlJc w:val="left"/>
      <w:pPr>
        <w:ind w:left="1069" w:hanging="360"/>
      </w:pPr>
      <w:rPr>
        <w:rFonts w:hint="default"/>
      </w:rPr>
    </w:lvl>
    <w:lvl w:ilvl="1" w:tplc="04180019" w:tentative="1">
      <w:start w:val="1"/>
      <w:numFmt w:val="lowerLetter"/>
      <w:lvlText w:val="%2."/>
      <w:lvlJc w:val="left"/>
      <w:pPr>
        <w:ind w:left="1789" w:hanging="360"/>
      </w:pPr>
    </w:lvl>
    <w:lvl w:ilvl="2" w:tplc="0418001B" w:tentative="1">
      <w:start w:val="1"/>
      <w:numFmt w:val="lowerRoman"/>
      <w:lvlText w:val="%3."/>
      <w:lvlJc w:val="right"/>
      <w:pPr>
        <w:ind w:left="2509" w:hanging="180"/>
      </w:pPr>
    </w:lvl>
    <w:lvl w:ilvl="3" w:tplc="0418000F" w:tentative="1">
      <w:start w:val="1"/>
      <w:numFmt w:val="decimal"/>
      <w:lvlText w:val="%4."/>
      <w:lvlJc w:val="left"/>
      <w:pPr>
        <w:ind w:left="3229" w:hanging="360"/>
      </w:pPr>
    </w:lvl>
    <w:lvl w:ilvl="4" w:tplc="04180019" w:tentative="1">
      <w:start w:val="1"/>
      <w:numFmt w:val="lowerLetter"/>
      <w:lvlText w:val="%5."/>
      <w:lvlJc w:val="left"/>
      <w:pPr>
        <w:ind w:left="3949" w:hanging="360"/>
      </w:pPr>
    </w:lvl>
    <w:lvl w:ilvl="5" w:tplc="0418001B" w:tentative="1">
      <w:start w:val="1"/>
      <w:numFmt w:val="lowerRoman"/>
      <w:lvlText w:val="%6."/>
      <w:lvlJc w:val="right"/>
      <w:pPr>
        <w:ind w:left="4669" w:hanging="180"/>
      </w:pPr>
    </w:lvl>
    <w:lvl w:ilvl="6" w:tplc="0418000F" w:tentative="1">
      <w:start w:val="1"/>
      <w:numFmt w:val="decimal"/>
      <w:lvlText w:val="%7."/>
      <w:lvlJc w:val="left"/>
      <w:pPr>
        <w:ind w:left="5389" w:hanging="360"/>
      </w:pPr>
    </w:lvl>
    <w:lvl w:ilvl="7" w:tplc="04180019" w:tentative="1">
      <w:start w:val="1"/>
      <w:numFmt w:val="lowerLetter"/>
      <w:lvlText w:val="%8."/>
      <w:lvlJc w:val="left"/>
      <w:pPr>
        <w:ind w:left="6109" w:hanging="360"/>
      </w:pPr>
    </w:lvl>
    <w:lvl w:ilvl="8" w:tplc="0418001B" w:tentative="1">
      <w:start w:val="1"/>
      <w:numFmt w:val="lowerRoman"/>
      <w:lvlText w:val="%9."/>
      <w:lvlJc w:val="right"/>
      <w:pPr>
        <w:ind w:left="6829" w:hanging="180"/>
      </w:pPr>
    </w:lvl>
  </w:abstractNum>
  <w:abstractNum w:abstractNumId="7" w15:restartNumberingAfterBreak="0">
    <w:nsid w:val="16ED399C"/>
    <w:multiLevelType w:val="hybridMultilevel"/>
    <w:tmpl w:val="9D74FA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AF273D"/>
    <w:multiLevelType w:val="hybridMultilevel"/>
    <w:tmpl w:val="EF288AAA"/>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2BA760E3"/>
    <w:multiLevelType w:val="hybridMultilevel"/>
    <w:tmpl w:val="72B4D34A"/>
    <w:lvl w:ilvl="0" w:tplc="7FB00A1C">
      <w:start w:val="1"/>
      <w:numFmt w:val="decimal"/>
      <w:lvlText w:val="%1."/>
      <w:lvlJc w:val="left"/>
      <w:pPr>
        <w:ind w:left="720"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18C0858"/>
    <w:multiLevelType w:val="hybridMultilevel"/>
    <w:tmpl w:val="DB968674"/>
    <w:lvl w:ilvl="0" w:tplc="44A8612A">
      <w:start w:val="1"/>
      <w:numFmt w:val="decimal"/>
      <w:lvlText w:val="%1)"/>
      <w:lvlJc w:val="left"/>
      <w:pPr>
        <w:ind w:left="790" w:hanging="360"/>
      </w:pPr>
      <w:rPr>
        <w:rFonts w:hint="default"/>
      </w:rPr>
    </w:lvl>
    <w:lvl w:ilvl="1" w:tplc="04090019" w:tentative="1">
      <w:start w:val="1"/>
      <w:numFmt w:val="lowerLetter"/>
      <w:lvlText w:val="%2."/>
      <w:lvlJc w:val="left"/>
      <w:pPr>
        <w:ind w:left="1510" w:hanging="360"/>
      </w:pPr>
    </w:lvl>
    <w:lvl w:ilvl="2" w:tplc="0409001B" w:tentative="1">
      <w:start w:val="1"/>
      <w:numFmt w:val="lowerRoman"/>
      <w:lvlText w:val="%3."/>
      <w:lvlJc w:val="right"/>
      <w:pPr>
        <w:ind w:left="2230" w:hanging="180"/>
      </w:pPr>
    </w:lvl>
    <w:lvl w:ilvl="3" w:tplc="0409000F" w:tentative="1">
      <w:start w:val="1"/>
      <w:numFmt w:val="decimal"/>
      <w:lvlText w:val="%4."/>
      <w:lvlJc w:val="left"/>
      <w:pPr>
        <w:ind w:left="2950" w:hanging="360"/>
      </w:pPr>
    </w:lvl>
    <w:lvl w:ilvl="4" w:tplc="04090019" w:tentative="1">
      <w:start w:val="1"/>
      <w:numFmt w:val="lowerLetter"/>
      <w:lvlText w:val="%5."/>
      <w:lvlJc w:val="left"/>
      <w:pPr>
        <w:ind w:left="3670" w:hanging="360"/>
      </w:pPr>
    </w:lvl>
    <w:lvl w:ilvl="5" w:tplc="0409001B" w:tentative="1">
      <w:start w:val="1"/>
      <w:numFmt w:val="lowerRoman"/>
      <w:lvlText w:val="%6."/>
      <w:lvlJc w:val="right"/>
      <w:pPr>
        <w:ind w:left="4390" w:hanging="180"/>
      </w:pPr>
    </w:lvl>
    <w:lvl w:ilvl="6" w:tplc="0409000F" w:tentative="1">
      <w:start w:val="1"/>
      <w:numFmt w:val="decimal"/>
      <w:lvlText w:val="%7."/>
      <w:lvlJc w:val="left"/>
      <w:pPr>
        <w:ind w:left="5110" w:hanging="360"/>
      </w:pPr>
    </w:lvl>
    <w:lvl w:ilvl="7" w:tplc="04090019" w:tentative="1">
      <w:start w:val="1"/>
      <w:numFmt w:val="lowerLetter"/>
      <w:lvlText w:val="%8."/>
      <w:lvlJc w:val="left"/>
      <w:pPr>
        <w:ind w:left="5830" w:hanging="360"/>
      </w:pPr>
    </w:lvl>
    <w:lvl w:ilvl="8" w:tplc="0409001B" w:tentative="1">
      <w:start w:val="1"/>
      <w:numFmt w:val="lowerRoman"/>
      <w:lvlText w:val="%9."/>
      <w:lvlJc w:val="right"/>
      <w:pPr>
        <w:ind w:left="6550" w:hanging="180"/>
      </w:pPr>
    </w:lvl>
  </w:abstractNum>
  <w:abstractNum w:abstractNumId="11" w15:restartNumberingAfterBreak="0">
    <w:nsid w:val="346008FE"/>
    <w:multiLevelType w:val="hybridMultilevel"/>
    <w:tmpl w:val="75B4DC9A"/>
    <w:lvl w:ilvl="0" w:tplc="30C2E41A">
      <w:start w:val="1"/>
      <w:numFmt w:val="lowerLetter"/>
      <w:lvlText w:val="%1)"/>
      <w:lvlJc w:val="left"/>
      <w:pPr>
        <w:ind w:left="1583" w:hanging="795"/>
      </w:pPr>
      <w:rPr>
        <w:rFonts w:hint="default"/>
      </w:rPr>
    </w:lvl>
    <w:lvl w:ilvl="1" w:tplc="04180019" w:tentative="1">
      <w:start w:val="1"/>
      <w:numFmt w:val="lowerLetter"/>
      <w:lvlText w:val="%2."/>
      <w:lvlJc w:val="left"/>
      <w:pPr>
        <w:ind w:left="1868" w:hanging="360"/>
      </w:pPr>
    </w:lvl>
    <w:lvl w:ilvl="2" w:tplc="0418001B" w:tentative="1">
      <w:start w:val="1"/>
      <w:numFmt w:val="lowerRoman"/>
      <w:lvlText w:val="%3."/>
      <w:lvlJc w:val="right"/>
      <w:pPr>
        <w:ind w:left="2588" w:hanging="180"/>
      </w:pPr>
    </w:lvl>
    <w:lvl w:ilvl="3" w:tplc="0418000F" w:tentative="1">
      <w:start w:val="1"/>
      <w:numFmt w:val="decimal"/>
      <w:lvlText w:val="%4."/>
      <w:lvlJc w:val="left"/>
      <w:pPr>
        <w:ind w:left="3308" w:hanging="360"/>
      </w:pPr>
    </w:lvl>
    <w:lvl w:ilvl="4" w:tplc="04180019" w:tentative="1">
      <w:start w:val="1"/>
      <w:numFmt w:val="lowerLetter"/>
      <w:lvlText w:val="%5."/>
      <w:lvlJc w:val="left"/>
      <w:pPr>
        <w:ind w:left="4028" w:hanging="360"/>
      </w:pPr>
    </w:lvl>
    <w:lvl w:ilvl="5" w:tplc="0418001B" w:tentative="1">
      <w:start w:val="1"/>
      <w:numFmt w:val="lowerRoman"/>
      <w:lvlText w:val="%6."/>
      <w:lvlJc w:val="right"/>
      <w:pPr>
        <w:ind w:left="4748" w:hanging="180"/>
      </w:pPr>
    </w:lvl>
    <w:lvl w:ilvl="6" w:tplc="0418000F" w:tentative="1">
      <w:start w:val="1"/>
      <w:numFmt w:val="decimal"/>
      <w:lvlText w:val="%7."/>
      <w:lvlJc w:val="left"/>
      <w:pPr>
        <w:ind w:left="5468" w:hanging="360"/>
      </w:pPr>
    </w:lvl>
    <w:lvl w:ilvl="7" w:tplc="04180019" w:tentative="1">
      <w:start w:val="1"/>
      <w:numFmt w:val="lowerLetter"/>
      <w:lvlText w:val="%8."/>
      <w:lvlJc w:val="left"/>
      <w:pPr>
        <w:ind w:left="6188" w:hanging="360"/>
      </w:pPr>
    </w:lvl>
    <w:lvl w:ilvl="8" w:tplc="0418001B" w:tentative="1">
      <w:start w:val="1"/>
      <w:numFmt w:val="lowerRoman"/>
      <w:lvlText w:val="%9."/>
      <w:lvlJc w:val="right"/>
      <w:pPr>
        <w:ind w:left="6908" w:hanging="180"/>
      </w:pPr>
    </w:lvl>
  </w:abstractNum>
  <w:abstractNum w:abstractNumId="12" w15:restartNumberingAfterBreak="0">
    <w:nsid w:val="36C3141D"/>
    <w:multiLevelType w:val="hybridMultilevel"/>
    <w:tmpl w:val="5468B488"/>
    <w:lvl w:ilvl="0" w:tplc="4336D7A4">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E381C93"/>
    <w:multiLevelType w:val="hybridMultilevel"/>
    <w:tmpl w:val="96E2D5B0"/>
    <w:lvl w:ilvl="0" w:tplc="F758B580">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5E03CB9"/>
    <w:multiLevelType w:val="hybridMultilevel"/>
    <w:tmpl w:val="4FC82330"/>
    <w:lvl w:ilvl="0" w:tplc="75AE2614">
      <w:start w:val="16"/>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F115EB6"/>
    <w:multiLevelType w:val="hybridMultilevel"/>
    <w:tmpl w:val="61DC88A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1CD4FAC"/>
    <w:multiLevelType w:val="hybridMultilevel"/>
    <w:tmpl w:val="A222A286"/>
    <w:lvl w:ilvl="0" w:tplc="752CB8C2">
      <w:start w:val="1"/>
      <w:numFmt w:val="decimal"/>
      <w:lvlText w:val="%1."/>
      <w:lvlJc w:val="left"/>
      <w:pPr>
        <w:ind w:left="1080" w:hanging="360"/>
      </w:pPr>
      <w:rPr>
        <w:rFonts w:hint="default"/>
        <w:i w:val="0"/>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7" w15:restartNumberingAfterBreak="0">
    <w:nsid w:val="6D791515"/>
    <w:multiLevelType w:val="hybridMultilevel"/>
    <w:tmpl w:val="812E5A06"/>
    <w:lvl w:ilvl="0" w:tplc="9D6CBDCA">
      <w:start w:val="1"/>
      <w:numFmt w:val="lowerLetter"/>
      <w:lvlText w:val="%1)"/>
      <w:lvlJc w:val="left"/>
      <w:pPr>
        <w:ind w:left="820" w:hanging="360"/>
      </w:pPr>
      <w:rPr>
        <w:rFonts w:hint="default"/>
      </w:rPr>
    </w:lvl>
    <w:lvl w:ilvl="1" w:tplc="04180019" w:tentative="1">
      <w:start w:val="1"/>
      <w:numFmt w:val="lowerLetter"/>
      <w:lvlText w:val="%2."/>
      <w:lvlJc w:val="left"/>
      <w:pPr>
        <w:ind w:left="1540" w:hanging="360"/>
      </w:pPr>
    </w:lvl>
    <w:lvl w:ilvl="2" w:tplc="0418001B" w:tentative="1">
      <w:start w:val="1"/>
      <w:numFmt w:val="lowerRoman"/>
      <w:lvlText w:val="%3."/>
      <w:lvlJc w:val="right"/>
      <w:pPr>
        <w:ind w:left="2260" w:hanging="180"/>
      </w:pPr>
    </w:lvl>
    <w:lvl w:ilvl="3" w:tplc="0418000F" w:tentative="1">
      <w:start w:val="1"/>
      <w:numFmt w:val="decimal"/>
      <w:lvlText w:val="%4."/>
      <w:lvlJc w:val="left"/>
      <w:pPr>
        <w:ind w:left="2980" w:hanging="360"/>
      </w:pPr>
    </w:lvl>
    <w:lvl w:ilvl="4" w:tplc="04180019" w:tentative="1">
      <w:start w:val="1"/>
      <w:numFmt w:val="lowerLetter"/>
      <w:lvlText w:val="%5."/>
      <w:lvlJc w:val="left"/>
      <w:pPr>
        <w:ind w:left="3700" w:hanging="360"/>
      </w:pPr>
    </w:lvl>
    <w:lvl w:ilvl="5" w:tplc="0418001B" w:tentative="1">
      <w:start w:val="1"/>
      <w:numFmt w:val="lowerRoman"/>
      <w:lvlText w:val="%6."/>
      <w:lvlJc w:val="right"/>
      <w:pPr>
        <w:ind w:left="4420" w:hanging="180"/>
      </w:pPr>
    </w:lvl>
    <w:lvl w:ilvl="6" w:tplc="0418000F" w:tentative="1">
      <w:start w:val="1"/>
      <w:numFmt w:val="decimal"/>
      <w:lvlText w:val="%7."/>
      <w:lvlJc w:val="left"/>
      <w:pPr>
        <w:ind w:left="5140" w:hanging="360"/>
      </w:pPr>
    </w:lvl>
    <w:lvl w:ilvl="7" w:tplc="04180019" w:tentative="1">
      <w:start w:val="1"/>
      <w:numFmt w:val="lowerLetter"/>
      <w:lvlText w:val="%8."/>
      <w:lvlJc w:val="left"/>
      <w:pPr>
        <w:ind w:left="5860" w:hanging="360"/>
      </w:pPr>
    </w:lvl>
    <w:lvl w:ilvl="8" w:tplc="0418001B" w:tentative="1">
      <w:start w:val="1"/>
      <w:numFmt w:val="lowerRoman"/>
      <w:lvlText w:val="%9."/>
      <w:lvlJc w:val="right"/>
      <w:pPr>
        <w:ind w:left="6580" w:hanging="180"/>
      </w:pPr>
    </w:lvl>
  </w:abstractNum>
  <w:abstractNum w:abstractNumId="18" w15:restartNumberingAfterBreak="0">
    <w:nsid w:val="6F927495"/>
    <w:multiLevelType w:val="hybridMultilevel"/>
    <w:tmpl w:val="2EBEA9D4"/>
    <w:lvl w:ilvl="0" w:tplc="98F44632">
      <w:start w:val="1"/>
      <w:numFmt w:val="decimal"/>
      <w:lvlText w:val="%1."/>
      <w:lvlJc w:val="left"/>
      <w:pPr>
        <w:ind w:left="1287" w:hanging="360"/>
      </w:pPr>
      <w:rPr>
        <w:color w:val="auto"/>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9" w15:restartNumberingAfterBreak="0">
    <w:nsid w:val="706641B9"/>
    <w:multiLevelType w:val="hybridMultilevel"/>
    <w:tmpl w:val="2488CE64"/>
    <w:lvl w:ilvl="0" w:tplc="04180017">
      <w:start w:val="1"/>
      <w:numFmt w:val="lowerLetter"/>
      <w:lvlText w:val="%1)"/>
      <w:lvlJc w:val="left"/>
      <w:pPr>
        <w:ind w:left="1069" w:hanging="360"/>
      </w:pPr>
      <w:rPr>
        <w:rFonts w:hint="default"/>
      </w:rPr>
    </w:lvl>
    <w:lvl w:ilvl="1" w:tplc="04180019" w:tentative="1">
      <w:start w:val="1"/>
      <w:numFmt w:val="lowerLetter"/>
      <w:lvlText w:val="%2."/>
      <w:lvlJc w:val="left"/>
      <w:pPr>
        <w:ind w:left="1789" w:hanging="360"/>
      </w:pPr>
    </w:lvl>
    <w:lvl w:ilvl="2" w:tplc="0418001B" w:tentative="1">
      <w:start w:val="1"/>
      <w:numFmt w:val="lowerRoman"/>
      <w:lvlText w:val="%3."/>
      <w:lvlJc w:val="right"/>
      <w:pPr>
        <w:ind w:left="2509" w:hanging="180"/>
      </w:pPr>
    </w:lvl>
    <w:lvl w:ilvl="3" w:tplc="0418000F" w:tentative="1">
      <w:start w:val="1"/>
      <w:numFmt w:val="decimal"/>
      <w:lvlText w:val="%4."/>
      <w:lvlJc w:val="left"/>
      <w:pPr>
        <w:ind w:left="3229" w:hanging="360"/>
      </w:pPr>
    </w:lvl>
    <w:lvl w:ilvl="4" w:tplc="04180019" w:tentative="1">
      <w:start w:val="1"/>
      <w:numFmt w:val="lowerLetter"/>
      <w:lvlText w:val="%5."/>
      <w:lvlJc w:val="left"/>
      <w:pPr>
        <w:ind w:left="3949" w:hanging="360"/>
      </w:pPr>
    </w:lvl>
    <w:lvl w:ilvl="5" w:tplc="0418001B" w:tentative="1">
      <w:start w:val="1"/>
      <w:numFmt w:val="lowerRoman"/>
      <w:lvlText w:val="%6."/>
      <w:lvlJc w:val="right"/>
      <w:pPr>
        <w:ind w:left="4669" w:hanging="180"/>
      </w:pPr>
    </w:lvl>
    <w:lvl w:ilvl="6" w:tplc="0418000F" w:tentative="1">
      <w:start w:val="1"/>
      <w:numFmt w:val="decimal"/>
      <w:lvlText w:val="%7."/>
      <w:lvlJc w:val="left"/>
      <w:pPr>
        <w:ind w:left="5389" w:hanging="360"/>
      </w:pPr>
    </w:lvl>
    <w:lvl w:ilvl="7" w:tplc="04180019" w:tentative="1">
      <w:start w:val="1"/>
      <w:numFmt w:val="lowerLetter"/>
      <w:lvlText w:val="%8."/>
      <w:lvlJc w:val="left"/>
      <w:pPr>
        <w:ind w:left="6109" w:hanging="360"/>
      </w:pPr>
    </w:lvl>
    <w:lvl w:ilvl="8" w:tplc="0418001B" w:tentative="1">
      <w:start w:val="1"/>
      <w:numFmt w:val="lowerRoman"/>
      <w:lvlText w:val="%9."/>
      <w:lvlJc w:val="right"/>
      <w:pPr>
        <w:ind w:left="6829" w:hanging="180"/>
      </w:pPr>
    </w:lvl>
  </w:abstractNum>
  <w:abstractNum w:abstractNumId="20" w15:restartNumberingAfterBreak="0">
    <w:nsid w:val="71C43299"/>
    <w:multiLevelType w:val="hybridMultilevel"/>
    <w:tmpl w:val="908A6D6E"/>
    <w:lvl w:ilvl="0" w:tplc="E06633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0"/>
  </w:num>
  <w:num w:numId="3">
    <w:abstractNumId w:val="18"/>
  </w:num>
  <w:num w:numId="4">
    <w:abstractNumId w:val="9"/>
  </w:num>
  <w:num w:numId="5">
    <w:abstractNumId w:val="13"/>
  </w:num>
  <w:num w:numId="6">
    <w:abstractNumId w:val="5"/>
  </w:num>
  <w:num w:numId="7">
    <w:abstractNumId w:val="17"/>
  </w:num>
  <w:num w:numId="8">
    <w:abstractNumId w:val="12"/>
  </w:num>
  <w:num w:numId="9">
    <w:abstractNumId w:val="8"/>
  </w:num>
  <w:num w:numId="10">
    <w:abstractNumId w:val="11"/>
  </w:num>
  <w:num w:numId="11">
    <w:abstractNumId w:val="10"/>
  </w:num>
  <w:num w:numId="12">
    <w:abstractNumId w:val="15"/>
  </w:num>
  <w:num w:numId="13">
    <w:abstractNumId w:val="3"/>
  </w:num>
  <w:num w:numId="14">
    <w:abstractNumId w:val="2"/>
  </w:num>
  <w:num w:numId="15">
    <w:abstractNumId w:val="4"/>
  </w:num>
  <w:num w:numId="16">
    <w:abstractNumId w:val="16"/>
  </w:num>
  <w:num w:numId="17">
    <w:abstractNumId w:val="7"/>
  </w:num>
  <w:num w:numId="18">
    <w:abstractNumId w:val="19"/>
  </w:num>
  <w:num w:numId="19">
    <w:abstractNumId w:val="20"/>
  </w:num>
  <w:num w:numId="20">
    <w:abstractNumId w:val="1"/>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64E"/>
    <w:rsid w:val="00006751"/>
    <w:rsid w:val="00012746"/>
    <w:rsid w:val="000139CE"/>
    <w:rsid w:val="0003218A"/>
    <w:rsid w:val="000340C6"/>
    <w:rsid w:val="000836AC"/>
    <w:rsid w:val="00083854"/>
    <w:rsid w:val="00095D20"/>
    <w:rsid w:val="000A1AF1"/>
    <w:rsid w:val="000A2FC6"/>
    <w:rsid w:val="000A38AC"/>
    <w:rsid w:val="000A50A9"/>
    <w:rsid w:val="000B6591"/>
    <w:rsid w:val="000F681D"/>
    <w:rsid w:val="00105C28"/>
    <w:rsid w:val="001063DC"/>
    <w:rsid w:val="00120AB4"/>
    <w:rsid w:val="0016266E"/>
    <w:rsid w:val="00165D4B"/>
    <w:rsid w:val="00191297"/>
    <w:rsid w:val="001B0F0C"/>
    <w:rsid w:val="001B4897"/>
    <w:rsid w:val="001D102D"/>
    <w:rsid w:val="001D149C"/>
    <w:rsid w:val="001F38E5"/>
    <w:rsid w:val="001F4112"/>
    <w:rsid w:val="001F6D9F"/>
    <w:rsid w:val="00236417"/>
    <w:rsid w:val="00257A2D"/>
    <w:rsid w:val="00262A45"/>
    <w:rsid w:val="002953BF"/>
    <w:rsid w:val="002C66BA"/>
    <w:rsid w:val="002D007F"/>
    <w:rsid w:val="002D3618"/>
    <w:rsid w:val="002E065C"/>
    <w:rsid w:val="002F4DD3"/>
    <w:rsid w:val="002F4F64"/>
    <w:rsid w:val="0036278F"/>
    <w:rsid w:val="00387FB1"/>
    <w:rsid w:val="003911DF"/>
    <w:rsid w:val="003A57F9"/>
    <w:rsid w:val="003F59C0"/>
    <w:rsid w:val="00412DD0"/>
    <w:rsid w:val="0041479F"/>
    <w:rsid w:val="004160CE"/>
    <w:rsid w:val="004237CA"/>
    <w:rsid w:val="00433295"/>
    <w:rsid w:val="004572C7"/>
    <w:rsid w:val="00473613"/>
    <w:rsid w:val="00473E3C"/>
    <w:rsid w:val="00491E78"/>
    <w:rsid w:val="004930D0"/>
    <w:rsid w:val="004A2BAB"/>
    <w:rsid w:val="004A5EC8"/>
    <w:rsid w:val="004B1549"/>
    <w:rsid w:val="004C0BD6"/>
    <w:rsid w:val="004C116F"/>
    <w:rsid w:val="004E7F2A"/>
    <w:rsid w:val="00503F64"/>
    <w:rsid w:val="00532C21"/>
    <w:rsid w:val="005334E1"/>
    <w:rsid w:val="005524B9"/>
    <w:rsid w:val="005570DD"/>
    <w:rsid w:val="0056452B"/>
    <w:rsid w:val="005755D2"/>
    <w:rsid w:val="0059111D"/>
    <w:rsid w:val="00593828"/>
    <w:rsid w:val="00593AE4"/>
    <w:rsid w:val="005949D5"/>
    <w:rsid w:val="005B41B7"/>
    <w:rsid w:val="005B6C14"/>
    <w:rsid w:val="005B7A5C"/>
    <w:rsid w:val="00607F3C"/>
    <w:rsid w:val="00612306"/>
    <w:rsid w:val="00631D53"/>
    <w:rsid w:val="0064096C"/>
    <w:rsid w:val="00652036"/>
    <w:rsid w:val="006B3D4E"/>
    <w:rsid w:val="006C0902"/>
    <w:rsid w:val="006C513C"/>
    <w:rsid w:val="006D033D"/>
    <w:rsid w:val="006D5ECD"/>
    <w:rsid w:val="006F15A2"/>
    <w:rsid w:val="006F1D8A"/>
    <w:rsid w:val="0071046B"/>
    <w:rsid w:val="00720A3E"/>
    <w:rsid w:val="00735514"/>
    <w:rsid w:val="00741BD3"/>
    <w:rsid w:val="00746201"/>
    <w:rsid w:val="00785057"/>
    <w:rsid w:val="0079220F"/>
    <w:rsid w:val="007A4C88"/>
    <w:rsid w:val="007E030D"/>
    <w:rsid w:val="007F3F73"/>
    <w:rsid w:val="00817D41"/>
    <w:rsid w:val="008265FA"/>
    <w:rsid w:val="00830405"/>
    <w:rsid w:val="00844A2A"/>
    <w:rsid w:val="00853002"/>
    <w:rsid w:val="0086149A"/>
    <w:rsid w:val="00877FE1"/>
    <w:rsid w:val="008B66E0"/>
    <w:rsid w:val="008D1A5C"/>
    <w:rsid w:val="00910BA3"/>
    <w:rsid w:val="00913CC1"/>
    <w:rsid w:val="00914C3D"/>
    <w:rsid w:val="00917054"/>
    <w:rsid w:val="00920327"/>
    <w:rsid w:val="00931CA3"/>
    <w:rsid w:val="00944E44"/>
    <w:rsid w:val="009664B2"/>
    <w:rsid w:val="00966ECC"/>
    <w:rsid w:val="00994543"/>
    <w:rsid w:val="009E7139"/>
    <w:rsid w:val="009F3139"/>
    <w:rsid w:val="00A34CDE"/>
    <w:rsid w:val="00A37825"/>
    <w:rsid w:val="00A83EFA"/>
    <w:rsid w:val="00A87343"/>
    <w:rsid w:val="00A9160B"/>
    <w:rsid w:val="00A930E0"/>
    <w:rsid w:val="00A93569"/>
    <w:rsid w:val="00AC7CB1"/>
    <w:rsid w:val="00B35F7A"/>
    <w:rsid w:val="00B36CEF"/>
    <w:rsid w:val="00B44CA1"/>
    <w:rsid w:val="00B5133D"/>
    <w:rsid w:val="00B72A1A"/>
    <w:rsid w:val="00BA4443"/>
    <w:rsid w:val="00BD3C44"/>
    <w:rsid w:val="00BE1A96"/>
    <w:rsid w:val="00BE4F25"/>
    <w:rsid w:val="00C01DD9"/>
    <w:rsid w:val="00C216ED"/>
    <w:rsid w:val="00C2509E"/>
    <w:rsid w:val="00C25E75"/>
    <w:rsid w:val="00C427E2"/>
    <w:rsid w:val="00C44AFB"/>
    <w:rsid w:val="00C64966"/>
    <w:rsid w:val="00CB5A46"/>
    <w:rsid w:val="00CF0456"/>
    <w:rsid w:val="00D224F4"/>
    <w:rsid w:val="00D529B5"/>
    <w:rsid w:val="00D65C10"/>
    <w:rsid w:val="00D911B1"/>
    <w:rsid w:val="00DA6999"/>
    <w:rsid w:val="00DC522D"/>
    <w:rsid w:val="00DC5788"/>
    <w:rsid w:val="00DC6FBA"/>
    <w:rsid w:val="00DD6D31"/>
    <w:rsid w:val="00DE470F"/>
    <w:rsid w:val="00DF5585"/>
    <w:rsid w:val="00E0364E"/>
    <w:rsid w:val="00E40013"/>
    <w:rsid w:val="00E41083"/>
    <w:rsid w:val="00E53C02"/>
    <w:rsid w:val="00E813DB"/>
    <w:rsid w:val="00EC11BE"/>
    <w:rsid w:val="00EC6BF6"/>
    <w:rsid w:val="00ED5DDA"/>
    <w:rsid w:val="00F0747E"/>
    <w:rsid w:val="00F13CA2"/>
    <w:rsid w:val="00F2113C"/>
    <w:rsid w:val="00F22825"/>
    <w:rsid w:val="00F315C1"/>
    <w:rsid w:val="00F55B82"/>
    <w:rsid w:val="00F81B59"/>
    <w:rsid w:val="00F95FC9"/>
    <w:rsid w:val="00FB4F98"/>
    <w:rsid w:val="00FC35EF"/>
    <w:rsid w:val="00FD24B9"/>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4D6EEE7-3846-45B6-B08D-63DE43D11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1083"/>
    <w:rPr>
      <w:rFonts w:eastAsiaTheme="minorEastAsia"/>
      <w:lang w:val="ro-RO"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473E3C"/>
    <w:pPr>
      <w:ind w:left="720"/>
      <w:contextualSpacing/>
    </w:pPr>
    <w:rPr>
      <w:rFonts w:eastAsiaTheme="minorHAnsi"/>
      <w:lang w:val="ru-RU" w:eastAsia="en-US"/>
    </w:rPr>
  </w:style>
  <w:style w:type="paragraph" w:styleId="a5">
    <w:name w:val="Normal (Web)"/>
    <w:aliases w:val=" Знак,webb"/>
    <w:basedOn w:val="a"/>
    <w:link w:val="a6"/>
    <w:uiPriority w:val="99"/>
    <w:qFormat/>
    <w:rsid w:val="00C216ED"/>
    <w:pPr>
      <w:suppressAutoHyphens/>
      <w:spacing w:after="0" w:line="240" w:lineRule="auto"/>
      <w:ind w:firstLine="567"/>
      <w:jc w:val="both"/>
    </w:pPr>
    <w:rPr>
      <w:rFonts w:ascii="Times New Roman" w:eastAsia="Times New Roman" w:hAnsi="Times New Roman" w:cs="Times New Roman"/>
      <w:sz w:val="24"/>
      <w:szCs w:val="24"/>
      <w:lang w:val="ru-RU" w:eastAsia="ar-SA"/>
    </w:rPr>
  </w:style>
  <w:style w:type="character" w:customStyle="1" w:styleId="a4">
    <w:name w:val="Абзац списка Знак"/>
    <w:link w:val="a3"/>
    <w:uiPriority w:val="34"/>
    <w:locked/>
    <w:rsid w:val="001D149C"/>
  </w:style>
  <w:style w:type="table" w:styleId="a7">
    <w:name w:val="Table Grid"/>
    <w:basedOn w:val="a1"/>
    <w:uiPriority w:val="59"/>
    <w:rsid w:val="006123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
    <w:name w:val="[Normal]"/>
    <w:rsid w:val="00593AE4"/>
    <w:pPr>
      <w:suppressAutoHyphens/>
      <w:autoSpaceDE w:val="0"/>
      <w:spacing w:after="0" w:line="240" w:lineRule="auto"/>
    </w:pPr>
    <w:rPr>
      <w:rFonts w:ascii="Arial" w:eastAsia="Times New Roman" w:hAnsi="Arial" w:cs="Arial"/>
      <w:sz w:val="24"/>
      <w:szCs w:val="24"/>
      <w:lang w:eastAsia="ar-SA"/>
    </w:rPr>
  </w:style>
  <w:style w:type="character" w:styleId="a8">
    <w:name w:val="Hyperlink"/>
    <w:basedOn w:val="a0"/>
    <w:uiPriority w:val="99"/>
    <w:unhideWhenUsed/>
    <w:rsid w:val="00A37825"/>
    <w:rPr>
      <w:color w:val="0000FF" w:themeColor="hyperlink"/>
      <w:u w:val="single"/>
    </w:rPr>
  </w:style>
  <w:style w:type="paragraph" w:customStyle="1" w:styleId="BodyText1">
    <w:name w:val="Body Text 1"/>
    <w:basedOn w:val="a9"/>
    <w:rsid w:val="00DC5788"/>
    <w:pPr>
      <w:tabs>
        <w:tab w:val="right" w:pos="-2127"/>
      </w:tabs>
      <w:suppressAutoHyphens/>
      <w:autoSpaceDE w:val="0"/>
      <w:spacing w:line="240" w:lineRule="auto"/>
      <w:jc w:val="both"/>
    </w:pPr>
    <w:rPr>
      <w:rFonts w:ascii="Times New Roman" w:eastAsia="Times New Roman" w:hAnsi="Times New Roman" w:cs="Times New Roman"/>
      <w:sz w:val="24"/>
      <w:szCs w:val="24"/>
      <w:lang w:val="es-ES" w:eastAsia="ar-SA"/>
    </w:rPr>
  </w:style>
  <w:style w:type="paragraph" w:styleId="a9">
    <w:name w:val="Body Text"/>
    <w:basedOn w:val="a"/>
    <w:link w:val="aa"/>
    <w:uiPriority w:val="99"/>
    <w:semiHidden/>
    <w:unhideWhenUsed/>
    <w:rsid w:val="00DC5788"/>
    <w:pPr>
      <w:spacing w:after="120"/>
    </w:pPr>
  </w:style>
  <w:style w:type="character" w:customStyle="1" w:styleId="aa">
    <w:name w:val="Основной текст Знак"/>
    <w:basedOn w:val="a0"/>
    <w:link w:val="a9"/>
    <w:uiPriority w:val="99"/>
    <w:semiHidden/>
    <w:rsid w:val="00DC5788"/>
    <w:rPr>
      <w:rFonts w:eastAsiaTheme="minorEastAsia"/>
      <w:lang w:val="ro-RO" w:eastAsia="zh-CN"/>
    </w:rPr>
  </w:style>
  <w:style w:type="paragraph" w:styleId="ab">
    <w:name w:val="Title"/>
    <w:basedOn w:val="a"/>
    <w:next w:val="a"/>
    <w:link w:val="ac"/>
    <w:rsid w:val="00C25E75"/>
    <w:pPr>
      <w:keepNext/>
      <w:keepLines/>
      <w:spacing w:before="480" w:after="120" w:line="240" w:lineRule="auto"/>
    </w:pPr>
    <w:rPr>
      <w:rFonts w:ascii="Times New Roman" w:eastAsia="Times New Roman" w:hAnsi="Times New Roman" w:cs="Times New Roman"/>
      <w:b/>
      <w:sz w:val="72"/>
      <w:szCs w:val="72"/>
      <w:lang w:eastAsia="ru-RU"/>
    </w:rPr>
  </w:style>
  <w:style w:type="character" w:customStyle="1" w:styleId="ac">
    <w:name w:val="Заголовок Знак"/>
    <w:basedOn w:val="a0"/>
    <w:link w:val="ab"/>
    <w:rsid w:val="00C25E75"/>
    <w:rPr>
      <w:rFonts w:ascii="Times New Roman" w:eastAsia="Times New Roman" w:hAnsi="Times New Roman" w:cs="Times New Roman"/>
      <w:b/>
      <w:sz w:val="72"/>
      <w:szCs w:val="72"/>
      <w:lang w:val="ro-RO" w:eastAsia="ru-RU"/>
    </w:rPr>
  </w:style>
  <w:style w:type="paragraph" w:styleId="ad">
    <w:name w:val="No Spacing"/>
    <w:uiPriority w:val="1"/>
    <w:qFormat/>
    <w:rsid w:val="002D007F"/>
    <w:pPr>
      <w:spacing w:after="0" w:line="240" w:lineRule="auto"/>
    </w:pPr>
    <w:rPr>
      <w:rFonts w:ascii="Calibri" w:eastAsia="Calibri" w:hAnsi="Calibri" w:cs="Times New Roman"/>
    </w:rPr>
  </w:style>
  <w:style w:type="paragraph" w:styleId="ae">
    <w:name w:val="Balloon Text"/>
    <w:basedOn w:val="a"/>
    <w:link w:val="af"/>
    <w:uiPriority w:val="99"/>
    <w:semiHidden/>
    <w:unhideWhenUsed/>
    <w:rsid w:val="0059111D"/>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59111D"/>
    <w:rPr>
      <w:rFonts w:ascii="Segoe UI" w:eastAsiaTheme="minorEastAsia" w:hAnsi="Segoe UI" w:cs="Segoe UI"/>
      <w:sz w:val="18"/>
      <w:szCs w:val="18"/>
      <w:lang w:val="ro-RO" w:eastAsia="zh-CN"/>
    </w:rPr>
  </w:style>
  <w:style w:type="character" w:customStyle="1" w:styleId="a6">
    <w:name w:val="Обычный (веб) Знак"/>
    <w:aliases w:val=" Знак Знак,webb Знак"/>
    <w:link w:val="a5"/>
    <w:uiPriority w:val="99"/>
    <w:locked/>
    <w:rsid w:val="00BD3C44"/>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6ECD17-ACF3-4B7A-B245-BEFA1221E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1253</TotalTime>
  <Pages>2</Pages>
  <Words>1005</Words>
  <Characters>5729</Characters>
  <Application>Microsoft Office Word</Application>
  <DocSecurity>0</DocSecurity>
  <Lines>47</Lines>
  <Paragraphs>13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DG Win&amp;Soft</Company>
  <LinksUpToDate>false</LinksUpToDate>
  <CharactersWithSpaces>6721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Veaceslav Turcanu</dc:creator>
  <cp:lastModifiedBy>Veaceslav Turcanu</cp:lastModifiedBy>
  <cp:revision>51</cp:revision>
  <cp:lastPrinted>2023-08-08T11:53:00Z</cp:lastPrinted>
  <dcterms:created xsi:type="dcterms:W3CDTF">2021-01-28T12:14:00Z</dcterms:created>
  <dcterms:modified xsi:type="dcterms:W3CDTF">2023-10-04T06:31:00Z</dcterms:modified>
</cp:coreProperties>
</file>